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2018年度新疆维吾尔自治区喀什经济开发区财政局部门决算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财政收支管理，预决算编制，政府采购、国有资产监管、财政资金绩效管理、债务、财政监督及税收管理协调工作；研究拟定金融贸易区建设规划、政策和措施，并组织实施；负责组织推进金融创新试点投融资平台建设；负责各类金融机构的引进、设立及服务；负责培育、推进企业上市工作等职能。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新疆维吾尔自治区喀什经济开发区财政局</w:t>
      </w:r>
      <w:r>
        <w:rPr>
          <w:rFonts w:hint="eastAsia" w:ascii="仿宋_GB2312" w:eastAsia="仿宋_GB2312"/>
          <w:sz w:val="32"/>
          <w:szCs w:val="32"/>
        </w:rPr>
        <w:t>部门决算包括：</w:t>
      </w:r>
      <w:r>
        <w:rPr>
          <w:rFonts w:ascii="仿宋_GB2312" w:eastAsia="仿宋_GB2312"/>
          <w:sz w:val="32"/>
          <w:szCs w:val="32"/>
        </w:rPr>
        <w:t>新疆维吾尔自治区喀什经济开发区财政局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新疆维吾尔自治区喀什经济开发区财政局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新疆维吾尔自治区喀什经济开发区财政局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3,060.03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增加了国际国内航空专项资金、就业稳工资金、产业园就业稳工车辆租赁费、个人工作经费；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690.42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2,399.6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3,060.03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2,990.34</w:t>
      </w:r>
      <w:r>
        <w:rPr>
          <w:rFonts w:hint="eastAsia" w:ascii="仿宋_GB2312" w:eastAsia="仿宋_GB2312"/>
          <w:color w:val="000000" w:themeColor="text1"/>
          <w:sz w:val="32"/>
          <w:szCs w:val="32"/>
        </w:rPr>
        <w:t>万元，占</w:t>
      </w:r>
      <w:r>
        <w:rPr>
          <w:rFonts w:hint="eastAsia" w:ascii="仿宋_GB2312" w:eastAsia="仿宋_GB2312"/>
          <w:sz w:val="32"/>
          <w:szCs w:val="32"/>
        </w:rPr>
        <w:t>97.72%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69.69</w:t>
      </w:r>
      <w:r>
        <w:rPr>
          <w:rFonts w:hint="eastAsia" w:ascii="仿宋_GB2312" w:eastAsia="仿宋_GB2312"/>
          <w:color w:val="000000" w:themeColor="text1"/>
          <w:sz w:val="32"/>
          <w:szCs w:val="32"/>
        </w:rPr>
        <w:t>万元，占</w:t>
      </w:r>
      <w:r>
        <w:rPr>
          <w:rFonts w:hint="eastAsia" w:ascii="仿宋_GB2312" w:eastAsia="仿宋_GB2312"/>
          <w:sz w:val="32"/>
          <w:szCs w:val="32"/>
        </w:rPr>
        <w:t>2.28%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况：本年收入年初预算数351.4万元</w:t>
      </w:r>
      <w:r>
        <w:rPr>
          <w:rFonts w:hint="eastAsia" w:ascii="仿宋_GB2312" w:eastAsia="仿宋_GB2312"/>
          <w:sz w:val="32"/>
          <w:szCs w:val="32"/>
        </w:rPr>
        <w:t>，决算数3,060.03万元</w:t>
      </w:r>
      <w:r>
        <w:rPr>
          <w:rFonts w:ascii="仿宋_GB2312" w:eastAsia="仿宋_GB2312"/>
          <w:sz w:val="32"/>
          <w:szCs w:val="32"/>
        </w:rPr>
        <w:t>，预决算差异率770.81%，差异主要原因是:增加了国际国内航空专项资金，就业稳工资金、产业园就业稳工车辆租赁费。</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690.42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228.86</w:t>
      </w:r>
      <w:r>
        <w:rPr>
          <w:rFonts w:hint="eastAsia" w:ascii="仿宋_GB2312" w:eastAsia="仿宋_GB2312"/>
          <w:color w:val="000000" w:themeColor="text1"/>
          <w:sz w:val="32"/>
          <w:szCs w:val="32"/>
        </w:rPr>
        <w:t>万元，占</w:t>
      </w:r>
      <w:r>
        <w:rPr>
          <w:rFonts w:hint="eastAsia" w:ascii="仿宋_GB2312" w:eastAsia="仿宋_GB2312"/>
          <w:sz w:val="32"/>
          <w:szCs w:val="32"/>
        </w:rPr>
        <w:t>33.15%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461.56</w:t>
      </w:r>
      <w:r>
        <w:rPr>
          <w:rFonts w:hint="eastAsia" w:ascii="仿宋_GB2312" w:eastAsia="仿宋_GB2312"/>
          <w:color w:val="000000" w:themeColor="text1"/>
          <w:sz w:val="32"/>
          <w:szCs w:val="32"/>
        </w:rPr>
        <w:t>万元，占</w:t>
      </w:r>
      <w:r>
        <w:rPr>
          <w:rFonts w:hint="eastAsia" w:ascii="仿宋_GB2312" w:eastAsia="仿宋_GB2312"/>
          <w:sz w:val="32"/>
          <w:szCs w:val="32"/>
        </w:rPr>
        <w:t>66.85%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与年初预算数相比情况：本年支出年初预算数351.4万元，</w:t>
      </w:r>
      <w:r>
        <w:rPr>
          <w:rFonts w:hint="eastAsia" w:ascii="仿宋_GB2312" w:eastAsia="仿宋_GB2312"/>
          <w:sz w:val="32"/>
          <w:szCs w:val="32"/>
        </w:rPr>
        <w:t>决算数690.42万元</w:t>
      </w:r>
      <w:r>
        <w:rPr>
          <w:rFonts w:ascii="仿宋_GB2312" w:eastAsia="仿宋_GB2312"/>
          <w:sz w:val="32"/>
          <w:szCs w:val="32"/>
        </w:rPr>
        <w:t>，预决算差异率96.48%，差异主要原因是:增加了国际国内航空专项资金，就业稳工资金、产业园就业稳工车辆租赁费。</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2,990.34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689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228.86</w:t>
      </w:r>
      <w:r>
        <w:rPr>
          <w:rFonts w:hint="eastAsia" w:ascii="仿宋_GB2312" w:eastAsia="仿宋_GB2312"/>
          <w:color w:val="000000" w:themeColor="text1"/>
          <w:sz w:val="32"/>
          <w:szCs w:val="32"/>
        </w:rPr>
        <w:t>万元，项目支出</w:t>
      </w:r>
      <w:r>
        <w:rPr>
          <w:rFonts w:hint="eastAsia" w:ascii="仿宋_GB2312" w:eastAsia="仿宋_GB2312"/>
          <w:sz w:val="32"/>
          <w:szCs w:val="32"/>
        </w:rPr>
        <w:t>460.15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2,331.33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351.4</w:t>
      </w:r>
      <w:r>
        <w:rPr>
          <w:rFonts w:hint="eastAsia" w:ascii="仿宋_GB2312" w:eastAsia="仿宋_GB2312"/>
          <w:color w:val="000000" w:themeColor="text1"/>
          <w:sz w:val="32"/>
          <w:szCs w:val="32"/>
        </w:rPr>
        <w:t>万元，决算数</w:t>
      </w:r>
      <w:r>
        <w:rPr>
          <w:rFonts w:hint="eastAsia" w:ascii="仿宋_GB2312" w:eastAsia="仿宋_GB2312"/>
          <w:sz w:val="32"/>
          <w:szCs w:val="32"/>
        </w:rPr>
        <w:t>2,990.34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，预决算差异率750.98%，差异主要原因是:新增单位，无上年对比数据。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351.4</w:t>
      </w:r>
      <w:r>
        <w:rPr>
          <w:rFonts w:hint="eastAsia" w:ascii="仿宋_GB2312" w:eastAsia="仿宋_GB2312"/>
          <w:color w:val="000000" w:themeColor="text1"/>
          <w:sz w:val="32"/>
          <w:szCs w:val="32"/>
        </w:rPr>
        <w:t>万元，决算数</w:t>
      </w:r>
      <w:r>
        <w:rPr>
          <w:rFonts w:hint="eastAsia" w:ascii="仿宋_GB2312" w:eastAsia="仿宋_GB2312"/>
          <w:sz w:val="32"/>
          <w:szCs w:val="32"/>
        </w:rPr>
        <w:t>689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，预决算差异率96.07%，差异主要原因是:增加了国际国内航空专项资金，就业稳工资金、产业园就业稳工车辆租赁费。</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2,990.34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689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住房保障支出13.51万元,一般公共服务支出248.51万元,资源勘探信息等支出24.55万元,教育支出1.56万元,金融支出3.51万元,其他支出0.72万元,社会保障和就业支出396.65万元。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工资福利支出215.37万元,商品和服务支出72.99万元,对企业补助400.65万元。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351.4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2,990.34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，预决算差异率750.98%，差异主要原因是:增加了国际国内航空专项资金，就业稳工资金、产业园就业稳工车辆租赁费。</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351.4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689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，预决算差异率96.07%，差异主要原因是:增加了就业稳工资金、产业园就业稳工车辆租赁费。</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2,399.6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2,331.33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3.86</w:t>
      </w:r>
      <w:r>
        <w:rPr>
          <w:rFonts w:hint="eastAsia" w:ascii="仿宋_GB2312" w:eastAsia="仿宋_GB2312"/>
          <w:color w:val="000000" w:themeColor="text1"/>
          <w:sz w:val="32"/>
          <w:szCs w:val="32"/>
        </w:rPr>
        <w:t>万元，占</w:t>
      </w:r>
      <w:r>
        <w:rPr>
          <w:rFonts w:hint="eastAsia" w:ascii="仿宋_GB2312" w:eastAsia="仿宋_GB2312"/>
          <w:sz w:val="32"/>
          <w:szCs w:val="32"/>
        </w:rPr>
        <w:t>82.13%，与上年相比增加0万元，增长0%，主要原因是：新增单位，无上年对比数据；</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0.85</w:t>
      </w:r>
      <w:r>
        <w:rPr>
          <w:rFonts w:hint="eastAsia" w:ascii="仿宋_GB2312" w:eastAsia="仿宋_GB2312"/>
          <w:color w:val="000000" w:themeColor="text1"/>
          <w:sz w:val="32"/>
          <w:szCs w:val="32"/>
        </w:rPr>
        <w:t>万元，占</w:t>
      </w:r>
      <w:r>
        <w:rPr>
          <w:rFonts w:hint="eastAsia" w:ascii="仿宋_GB2312" w:eastAsia="仿宋_GB2312"/>
          <w:sz w:val="32"/>
          <w:szCs w:val="32"/>
        </w:rPr>
        <w:t>18.09%，与上年相比增加0万元，增长0%，主要原因是：新增单位，无上年对比数据。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新疆维吾尔自治区喀什经济开发区财政局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3.86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3.86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车辆维修及保养</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0.85</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0.85</w:t>
      </w:r>
      <w:r>
        <w:rPr>
          <w:rFonts w:hint="eastAsia" w:ascii="仿宋_GB2312" w:eastAsia="仿宋_GB2312"/>
          <w:color w:val="000000" w:themeColor="text1"/>
          <w:sz w:val="32"/>
          <w:szCs w:val="32"/>
        </w:rPr>
        <w:t>万元，主要是</w:t>
      </w:r>
      <w:r>
        <w:rPr>
          <w:rFonts w:hint="eastAsia" w:ascii="仿宋_GB2312" w:eastAsia="仿宋_GB2312"/>
          <w:sz w:val="32"/>
          <w:szCs w:val="32"/>
        </w:rPr>
        <w:t>接待来喀什投资客商</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新疆维吾尔自治区喀什经济开发区财政局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11</w:t>
      </w:r>
      <w:r>
        <w:rPr>
          <w:rFonts w:hint="eastAsia" w:ascii="仿宋_GB2312" w:eastAsia="仿宋_GB2312"/>
          <w:color w:val="000000" w:themeColor="text1"/>
          <w:sz w:val="32"/>
          <w:szCs w:val="32"/>
        </w:rPr>
        <w:t>批次，</w:t>
      </w:r>
      <w:r>
        <w:rPr>
          <w:rFonts w:hint="eastAsia" w:ascii="仿宋_GB2312" w:eastAsia="仿宋_GB2312"/>
          <w:sz w:val="32"/>
          <w:szCs w:val="32"/>
        </w:rPr>
        <w:t>120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5.91</w:t>
      </w:r>
      <w:r>
        <w:rPr>
          <w:rFonts w:hint="eastAsia" w:ascii="仿宋_GB2312" w:eastAsia="仿宋_GB2312"/>
          <w:color w:val="000000" w:themeColor="text1"/>
          <w:sz w:val="32"/>
          <w:szCs w:val="32"/>
        </w:rPr>
        <w:t>万元，决算数4.7万元</w:t>
      </w:r>
      <w:r>
        <w:rPr>
          <w:rFonts w:ascii="仿宋_GB2312" w:eastAsia="仿宋_GB2312"/>
          <w:color w:val="000000" w:themeColor="text1"/>
          <w:sz w:val="32"/>
          <w:szCs w:val="32"/>
        </w:rPr>
        <w:t>，预决算差异率-20.47%，差异主要原因是:接待中一律是工作餐，车辆使用率有所减少。</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，预决算差异率-22.8%，差异主要原因是:出车率不断减少，缩减了保养费的费用；</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0.91</w:t>
      </w:r>
      <w:r>
        <w:rPr>
          <w:rFonts w:hint="eastAsia" w:ascii="仿宋_GB2312" w:eastAsia="仿宋_GB2312"/>
          <w:color w:val="000000" w:themeColor="text1"/>
          <w:sz w:val="32"/>
          <w:szCs w:val="32"/>
        </w:rPr>
        <w:t>万元，决算数0.85万元</w:t>
      </w:r>
      <w:r>
        <w:rPr>
          <w:rFonts w:ascii="仿宋_GB2312" w:eastAsia="仿宋_GB2312"/>
          <w:color w:val="000000" w:themeColor="text1"/>
          <w:sz w:val="32"/>
          <w:szCs w:val="32"/>
        </w:rPr>
        <w:t>，预决算差异率-6.59%，差异主要原因是:</w:t>
      </w:r>
      <w:bookmarkEnd w:id="86"/>
      <w:r>
        <w:rPr>
          <w:rFonts w:ascii="仿宋_GB2312" w:eastAsia="仿宋_GB2312"/>
          <w:color w:val="000000" w:themeColor="text1"/>
          <w:sz w:val="32"/>
          <w:szCs w:val="32"/>
        </w:rPr>
        <w:t>公务接待一律吃工作餐。</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2018年度新疆维吾尔自治区喀什经济开发区财政局机关运行经费支出13.49万元，与上年相比增加0万元，增长0%，主要原因是：新增单位，无上年对比数据。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29.86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29.86</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1、国际国内航线专项补贴资金项目绩效自评综述：根据年初设定的绩效目标，该项目绩效自评得分为85分。项目全年预算数为1,900万元，执行数为0万元，完成预算的0%。主要产出和效果：为打造喀什丝绸之路经济带核心区结合点、增长极、区域中心和中巴经济走廊战略，积极培育国际国内航线，打开喀什“空中丝绸之路”大通道。发现的问题及原因：由于未收到相关补贴申请资料，该资金未形成实际支出。下一步改进措施： 加强与喀什地区发改委、喀什机场的联系和协调对接，发挥资金效益。该政策2019年4月22日截止，至截止尽快盘活资金收回财政统筹使用。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2、纺织服装产业新增就业专项资金项目绩效自评综述：根据年初设定的绩效目标，该项目绩效自评得分为77.6分。项目全年预算数为126.05万元，执行数为24.55万元，完成预算的19.48%。主要产出和效果：加大了纺织产业的扶持力度，增加了就业岗位，为脱贫攻坚战起到了很大的作用。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3、稳工车辆租赁费项目绩效自评综述：根据年初设定的绩效目标，该项目绩效自评得分为82分。项目全年预算数为900万元，执行数为574.43万元，完成预算的63.83%。主要产出和效果：解决了农民工的交通问题，聚焦脱贫攻坚起到了积极的促进作用。发现的问题及原因：公交公司提交的资料不全，导致资金拨付延后。下一步改进措施：加大公司的协调。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4、会计电算化服务及培训费项目绩效自评综述：根据年初设定的绩效目标，该项目绩效自评得分为60分。项目全年预算数为62.43万元，执行数为1.42万元，完成预算的2.27%。主要产出和效果：提高了工作人员的业务水平。发现的问题及原因：培训人员人员太少，培训次数太少。下一步改进措施： 加大培训力度。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5、采购业务培训支出项目绩效自评综述：根据年初设定的绩效目标，该项目绩效自评得分为89分。项目全年预算数为10万元，执行数为0.82万元，完成预算的8.2%。主要产出和效果：进一步提升政府采购代理机构人员的政策执行水平，参加培训。发现的问题及原因：无。下一步改进措施：严格预算执行管理，事前审批，事后据实核拨。按照实际工作需要，在预算额度内予以安排，项目资金支付后，进行跟踪问效，确保资金效益。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6、财政国库专项业务经费项目绩效自评综述：根据年初设定的绩效目标，该项目绩效自评得分为89分。项目全年预算数为10万元，执行数为0万元，完成预算的0%。主要产出和效果：进一步提升政府采购代理机构人员的政策执行水平，参加培训。发现的问题及原因：无。下一步改进措施：严格预算执行管理，事前审批，事后据实核拨。按照实际工作需要，在预算额度内予以安排，项目资金支付后，进行跟踪问效，确保资金效益。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7、财政投资评审专项业务经费项目绩效自评综述：根据年初设定的绩效目标，该项目绩效自评得分为89分。项目全年预算数为60.02万元，执行数为54.45万元，完成预算的90.72%。主要产出和效果：规范财政投资评审行为，提高财政投资评审工作效率，采取政府购买服务，依托市审计局造价咨询中介评审库，委托专业造价评审中介机构对开发区财政资金安排项目开展预算及结算投资评审工作。发现的问题及原因：预算使用不及时。下一步改进措施： 加强与评审机构的沟通对接，及时准确地进行费用结算。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8、预决算编制经费项目绩效自评综述：根据年初设定的绩效目标，该项目绩效自评得分为90分。项目全年预算数为2万元，执行数为0万元，完成预算的0%。主要产出和效果：预期目标及阶段性目标：保障2018年度预、决算编制期间发生的编制、印刷等费用。发现的问题及原因：存在的问题，预算申报、安排过程未进行充分论证，出现有预算无支出的情况。下一步改进措施： 建议通过开展部门整体绩效评价，提高对本部门整体预算编制的精细化和精确度。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9、个人补助经费项目绩效自评综述：根据年初设定的绩效目标，该项目绩效自评得分为90分。项目全年预算数为0.72万元，执行数为0.72万元，完成预算的100%。主要产出和效果：聚焦总目标，扎实开展工作，保障队员个人补助经费。发现的问题及原因：总量不大，积极促进作用不明显。下一步改进措施：充分发挥资金效益，为队员保障个人经费补助，促进工作持续不断向聚焦总目标发力。  </w:t>
      </w:r>
    </w:p>
    <w:p>
      <w:pPr>
        <w:spacing w:line="540" w:lineRule="exact"/>
        <w:ind w:right="-1" w:firstLine="640" w:firstLineChars="200"/>
        <w:jc w:val="left"/>
      </w:pPr>
      <w:r>
        <w:rPr>
          <w:rFonts w:ascii="仿宋_GB2312" w:hAnsi="仿宋_GB2312" w:eastAsia="仿宋_GB2312" w:cs="仿宋_GB2312"/>
          <w:b w:val="0"/>
          <w:color w:val="000000"/>
          <w:sz w:val="32"/>
          <w:u w:val="none"/>
        </w:rPr>
        <w:t xml:space="preserve">10、金融发展项目绩效自评综述：根据年初设定的绩效目标，该项目绩效自评得分为79.1分。项目全年预算数为10万元，执行数为3.51万元，完成预算的35.1%。主要产出和效果：开展金融创新试点，普及企业防范非法集资知识。发现的问题及原因：会议活动的不确定因素较多，影响预期目标的完成。下一步改进措施： 建议事情充分完善方案，进行可行性评估。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06（款）99（项）指：其他财政事务支出。214（类）03（款）99（项）指：其他民用航空运输支出。201（类）06（款）01（项）指：行政运行。221（类）02（款）01（项）指：住房公积金。201（类）06（款）08（项）指：财政委托业务支出。208（类）07（款）99（项）指：其他就业补助支出。215（类）02（款）04（项）指：纺织业。205（类）02（款）01（项）指：学前教育。229（类）99（款）01（项）指：其他支出。208（类）05（款）05（项）指：机关事业单位基本养老保险缴费支出。217（类）99（款）01（项）指：其他金融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- 12 -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m3hw0H6cAyZnJWNbFvrVUdBcJrE=" w:salt="SyBnPJCrNKyPyoB7UhqV2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293027"/>
    <w:rsid w:val="028847F9"/>
    <w:rsid w:val="03AA79F6"/>
    <w:rsid w:val="04427C14"/>
    <w:rsid w:val="04741FE5"/>
    <w:rsid w:val="04DB02C7"/>
    <w:rsid w:val="05734E69"/>
    <w:rsid w:val="06B856EE"/>
    <w:rsid w:val="07FE5938"/>
    <w:rsid w:val="084604BC"/>
    <w:rsid w:val="08883825"/>
    <w:rsid w:val="09725983"/>
    <w:rsid w:val="0A382BB5"/>
    <w:rsid w:val="0AA4543A"/>
    <w:rsid w:val="0BE61132"/>
    <w:rsid w:val="0C996F7A"/>
    <w:rsid w:val="0C9B0DD6"/>
    <w:rsid w:val="0CE4791C"/>
    <w:rsid w:val="0E063C64"/>
    <w:rsid w:val="0E844827"/>
    <w:rsid w:val="0F4C7B96"/>
    <w:rsid w:val="0FFB575E"/>
    <w:rsid w:val="10845F1B"/>
    <w:rsid w:val="11463A00"/>
    <w:rsid w:val="11600918"/>
    <w:rsid w:val="11B0398F"/>
    <w:rsid w:val="1229132F"/>
    <w:rsid w:val="13B960C5"/>
    <w:rsid w:val="152777F4"/>
    <w:rsid w:val="15C674B6"/>
    <w:rsid w:val="18D54A0D"/>
    <w:rsid w:val="1A4106A0"/>
    <w:rsid w:val="1A4F5437"/>
    <w:rsid w:val="1AB77CD0"/>
    <w:rsid w:val="1E524344"/>
    <w:rsid w:val="1E807156"/>
    <w:rsid w:val="1EA657F6"/>
    <w:rsid w:val="1F097CB6"/>
    <w:rsid w:val="2166156B"/>
    <w:rsid w:val="21B02D83"/>
    <w:rsid w:val="22A236F5"/>
    <w:rsid w:val="23995975"/>
    <w:rsid w:val="2432220E"/>
    <w:rsid w:val="248303BA"/>
    <w:rsid w:val="24837E47"/>
    <w:rsid w:val="252E01AA"/>
    <w:rsid w:val="2680023E"/>
    <w:rsid w:val="29680352"/>
    <w:rsid w:val="2A020F75"/>
    <w:rsid w:val="2A5068C3"/>
    <w:rsid w:val="2B007AEE"/>
    <w:rsid w:val="2BC14C56"/>
    <w:rsid w:val="2C1B026F"/>
    <w:rsid w:val="2CC61F55"/>
    <w:rsid w:val="2E6358A6"/>
    <w:rsid w:val="2EF7452F"/>
    <w:rsid w:val="2F1D13B4"/>
    <w:rsid w:val="2FAA3DA6"/>
    <w:rsid w:val="30682E1F"/>
    <w:rsid w:val="30E210D2"/>
    <w:rsid w:val="311371D6"/>
    <w:rsid w:val="31EB64C9"/>
    <w:rsid w:val="336D0D6F"/>
    <w:rsid w:val="342B74B5"/>
    <w:rsid w:val="34316090"/>
    <w:rsid w:val="352E4BEC"/>
    <w:rsid w:val="37DD5594"/>
    <w:rsid w:val="3816627B"/>
    <w:rsid w:val="38F24FA8"/>
    <w:rsid w:val="3A98342A"/>
    <w:rsid w:val="3AB6780E"/>
    <w:rsid w:val="3AD56D70"/>
    <w:rsid w:val="3B2920C2"/>
    <w:rsid w:val="3B367F9A"/>
    <w:rsid w:val="3BE41ABD"/>
    <w:rsid w:val="3C5421A9"/>
    <w:rsid w:val="3D903B21"/>
    <w:rsid w:val="3F440741"/>
    <w:rsid w:val="41FC306C"/>
    <w:rsid w:val="43F04D51"/>
    <w:rsid w:val="44BE5554"/>
    <w:rsid w:val="451E0908"/>
    <w:rsid w:val="452C2D31"/>
    <w:rsid w:val="45D26E14"/>
    <w:rsid w:val="4691174F"/>
    <w:rsid w:val="46A541B1"/>
    <w:rsid w:val="48C57772"/>
    <w:rsid w:val="49782886"/>
    <w:rsid w:val="4A6F0D28"/>
    <w:rsid w:val="4AAF085C"/>
    <w:rsid w:val="4AEB7E60"/>
    <w:rsid w:val="4B4B135B"/>
    <w:rsid w:val="4BC7055F"/>
    <w:rsid w:val="4CFC7DB2"/>
    <w:rsid w:val="4D6B1101"/>
    <w:rsid w:val="4E7C187D"/>
    <w:rsid w:val="4FC521FA"/>
    <w:rsid w:val="508941AD"/>
    <w:rsid w:val="50E65530"/>
    <w:rsid w:val="51457139"/>
    <w:rsid w:val="51574DBD"/>
    <w:rsid w:val="51EC1DA8"/>
    <w:rsid w:val="52FC5524"/>
    <w:rsid w:val="532D7A17"/>
    <w:rsid w:val="54AF4562"/>
    <w:rsid w:val="54C9674B"/>
    <w:rsid w:val="556318EA"/>
    <w:rsid w:val="55A60AA1"/>
    <w:rsid w:val="56451615"/>
    <w:rsid w:val="57FC5774"/>
    <w:rsid w:val="581440DF"/>
    <w:rsid w:val="59B332C9"/>
    <w:rsid w:val="5A44758A"/>
    <w:rsid w:val="5BEC4BB3"/>
    <w:rsid w:val="5C070B55"/>
    <w:rsid w:val="5CB96DCE"/>
    <w:rsid w:val="5CE61580"/>
    <w:rsid w:val="5D175666"/>
    <w:rsid w:val="5D556A3C"/>
    <w:rsid w:val="5D7B25C9"/>
    <w:rsid w:val="5ECB44B4"/>
    <w:rsid w:val="5EE2043C"/>
    <w:rsid w:val="5FFA583F"/>
    <w:rsid w:val="602D2E37"/>
    <w:rsid w:val="61460FBE"/>
    <w:rsid w:val="62775810"/>
    <w:rsid w:val="62D83744"/>
    <w:rsid w:val="630F4048"/>
    <w:rsid w:val="632A51EC"/>
    <w:rsid w:val="63AA02E5"/>
    <w:rsid w:val="64700DE9"/>
    <w:rsid w:val="65C613BD"/>
    <w:rsid w:val="65FD118C"/>
    <w:rsid w:val="682C3D89"/>
    <w:rsid w:val="68611305"/>
    <w:rsid w:val="69973BBA"/>
    <w:rsid w:val="6A162DE0"/>
    <w:rsid w:val="6A331428"/>
    <w:rsid w:val="6B2E5CB6"/>
    <w:rsid w:val="6B3D4886"/>
    <w:rsid w:val="6DEA4F30"/>
    <w:rsid w:val="6DF8675E"/>
    <w:rsid w:val="6E874334"/>
    <w:rsid w:val="6EA80098"/>
    <w:rsid w:val="6F8D70FF"/>
    <w:rsid w:val="6FFE5011"/>
    <w:rsid w:val="7178734D"/>
    <w:rsid w:val="71791096"/>
    <w:rsid w:val="717B0C34"/>
    <w:rsid w:val="71FB78FD"/>
    <w:rsid w:val="7275064A"/>
    <w:rsid w:val="733F750B"/>
    <w:rsid w:val="735702E2"/>
    <w:rsid w:val="75954ABF"/>
    <w:rsid w:val="762A1F1E"/>
    <w:rsid w:val="765F635A"/>
    <w:rsid w:val="76B73454"/>
    <w:rsid w:val="76D254BD"/>
    <w:rsid w:val="77727ACD"/>
    <w:rsid w:val="77850235"/>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1151</Words>
  <Characters>6564</Characters>
  <Lines>54</Lines>
  <Paragraphs>15</Paragraphs>
  <TotalTime>340</TotalTime>
  <ScaleCrop>false</ScaleCrop>
  <LinksUpToDate>false</LinksUpToDate>
  <CharactersWithSpaces>7700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2021-05-30T02:18:07Z</dcterms:modified>
  <cp:revision>848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