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项目名称：国际国内航线专项补贴资金</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实施单位（公章）：喀什经济开发区财政局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主管部门（公章）：喀什经济开发区管委会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Style w:val="20"/>
          <w:rFonts w:hint="eastAsia" w:ascii="黑体" w:hAnsi="黑体" w:eastAsia="黑体"/>
          <w:b w:val="0"/>
          <w:color w:val="auto"/>
          <w:spacing w:val="-4"/>
          <w:sz w:val="32"/>
          <w:szCs w:val="32"/>
          <w:shd w:val="clear" w:color="auto" w:fill="auto"/>
        </w:rPr>
      </w:pPr>
      <w:r>
        <w:rPr>
          <w:rFonts w:hint="eastAsia" w:hAnsi="宋体" w:eastAsia="仿宋_GB2312" w:cs="宋体"/>
          <w:kern w:val="0"/>
          <w:sz w:val="36"/>
          <w:szCs w:val="36"/>
        </w:rPr>
        <w:t>填报时间：2019年3月5日</w:t>
      </w:r>
    </w:p>
    <w:p>
      <w:pPr>
        <w:pStyle w:val="49"/>
        <w:spacing w:line="700" w:lineRule="exact"/>
        <w:ind w:firstLine="624" w:firstLineChars="200"/>
        <w:jc w:val="left"/>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一、项目概况</w:t>
      </w:r>
    </w:p>
    <w:p>
      <w:pPr>
        <w:adjustRightInd w:val="0"/>
        <w:snapToGrid w:val="0"/>
        <w:spacing w:line="560" w:lineRule="exact"/>
        <w:ind w:firstLine="627" w:firstLineChars="20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（一）项目单位基本情况</w:t>
      </w:r>
    </w:p>
    <w:p>
      <w:pPr>
        <w:adjustRightInd w:val="0"/>
        <w:snapToGrid w:val="0"/>
        <w:spacing w:line="560" w:lineRule="exact"/>
        <w:ind w:firstLine="624" w:firstLineChars="200"/>
        <w:rPr>
          <w:rStyle w:val="20"/>
          <w:rFonts w:hint="eastAsia" w:ascii="仿宋" w:hAnsi="仿宋" w:eastAsia="仿宋"/>
          <w:b w:val="0"/>
          <w:color w:val="auto"/>
          <w:spacing w:val="-4"/>
          <w:sz w:val="32"/>
          <w:szCs w:val="32"/>
          <w:shd w:val="clear" w:color="auto" w:fill="auto"/>
          <w:lang w:val="en-US" w:eastAsia="zh-CN"/>
        </w:rPr>
      </w:pPr>
      <w:r>
        <w:rPr>
          <w:rStyle w:val="20"/>
          <w:rFonts w:hint="eastAsia" w:ascii="仿宋" w:hAnsi="仿宋" w:eastAsia="仿宋"/>
          <w:b w:val="0"/>
          <w:color w:val="auto"/>
          <w:spacing w:val="-4"/>
          <w:sz w:val="32"/>
          <w:szCs w:val="32"/>
          <w:shd w:val="clear" w:color="auto" w:fill="auto"/>
          <w:lang w:val="en-US" w:eastAsia="zh-CN"/>
        </w:rPr>
        <w:t>喀什经济开发区财政局，为喀什经济开发区管委会下设部门单位，主要负责开发区财政收支管理工作；负责预算、决算编制工作；负责政府采购、国有资产管理、财政资金绩效管理、债务管理和财政监督工作；负责开发区所属单位财务人员培训工作；负责拟定和执行统一规定的行政事业单位开支标准；负责项目资金审查监管工作；设立代理国库，代行国库职能；负责开发区税收管理协调工作等事项。编制数15人，其中：行政人员编制8人，全额拨款事业单位人员编制7人。</w:t>
      </w:r>
    </w:p>
    <w:p>
      <w:pPr>
        <w:adjustRightInd w:val="0"/>
        <w:snapToGrid w:val="0"/>
        <w:spacing w:line="560" w:lineRule="exact"/>
        <w:ind w:firstLine="627" w:firstLineChars="20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（二）项目预算</w:t>
      </w:r>
      <w:r>
        <w:rPr>
          <w:rStyle w:val="20"/>
          <w:rFonts w:ascii="楷体" w:hAnsi="楷体" w:eastAsia="楷体"/>
          <w:color w:val="auto"/>
          <w:spacing w:val="-4"/>
          <w:sz w:val="32"/>
          <w:szCs w:val="32"/>
          <w:shd w:val="clear" w:color="auto" w:fill="auto"/>
        </w:rPr>
        <w:t>绩效目标</w:t>
      </w:r>
      <w:r>
        <w:rPr>
          <w:rStyle w:val="20"/>
          <w:rFonts w:hint="eastAsia" w:ascii="楷体" w:hAnsi="楷体" w:eastAsia="楷体"/>
          <w:color w:val="auto"/>
          <w:spacing w:val="-4"/>
          <w:sz w:val="32"/>
          <w:szCs w:val="32"/>
          <w:shd w:val="clear" w:color="auto" w:fill="auto"/>
        </w:rPr>
        <w:t>设定情况</w:t>
      </w:r>
    </w:p>
    <w:p>
      <w:p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1、项目预期目标及阶段性目标</w:t>
      </w:r>
    </w:p>
    <w:p>
      <w:pPr>
        <w:keepNext w:val="0"/>
        <w:keepLines w:val="0"/>
        <w:pageBreakBefore w:val="0"/>
        <w:widowControl w:val="0"/>
        <w:numPr>
          <w:ilvl w:val="0"/>
          <w:numId w:val="0"/>
        </w:numPr>
        <w:kinsoku/>
        <w:wordWrap/>
        <w:overflowPunct/>
        <w:topLinePunct w:val="0"/>
        <w:autoSpaceDE/>
        <w:autoSpaceDN/>
        <w:bidi w:val="0"/>
        <w:adjustRightInd/>
        <w:snapToGrid/>
        <w:ind w:firstLine="624" w:firstLineChars="200"/>
        <w:jc w:val="left"/>
        <w:textAlignment w:val="auto"/>
        <w:rPr>
          <w:rFonts w:hint="eastAsia" w:ascii="仿宋" w:hAnsi="仿宋" w:eastAsia="仿宋" w:cs="仿宋"/>
          <w:bCs/>
          <w:color w:val="auto"/>
          <w:spacing w:val="-4"/>
          <w:sz w:val="32"/>
          <w:szCs w:val="32"/>
          <w:shd w:val="clear" w:color="auto" w:fill="auto"/>
          <w:lang w:eastAsia="zh-CN"/>
        </w:rPr>
      </w:pPr>
      <w:r>
        <w:rPr>
          <w:rFonts w:hint="eastAsia" w:ascii="仿宋" w:hAnsi="仿宋" w:eastAsia="仿宋"/>
          <w:b w:val="0"/>
          <w:bCs w:val="0"/>
          <w:color w:val="auto"/>
          <w:spacing w:val="-4"/>
          <w:sz w:val="32"/>
          <w:szCs w:val="32"/>
          <w:shd w:val="clear" w:color="auto" w:fill="auto"/>
          <w:lang w:eastAsia="zh-CN"/>
        </w:rPr>
        <w:t>本项目</w:t>
      </w:r>
      <w:r>
        <w:rPr>
          <w:rFonts w:hint="eastAsia" w:ascii="仿宋" w:hAnsi="仿宋" w:eastAsia="仿宋"/>
          <w:b w:val="0"/>
          <w:bCs w:val="0"/>
          <w:color w:val="auto"/>
          <w:spacing w:val="-4"/>
          <w:sz w:val="32"/>
          <w:szCs w:val="32"/>
          <w:shd w:val="clear" w:color="auto" w:fill="auto"/>
          <w:lang w:val="en-US" w:eastAsia="zh-CN"/>
        </w:rPr>
        <w:t>2018年目标是：</w:t>
      </w:r>
      <w:r>
        <w:rPr>
          <w:rFonts w:hint="eastAsia" w:ascii="仿宋" w:hAnsi="仿宋" w:eastAsia="仿宋"/>
          <w:b w:val="0"/>
          <w:bCs w:val="0"/>
          <w:color w:val="auto"/>
          <w:spacing w:val="-4"/>
          <w:sz w:val="32"/>
          <w:szCs w:val="32"/>
          <w:shd w:val="clear" w:color="auto" w:fill="auto"/>
        </w:rPr>
        <w:t>通过发放补贴资金，促进航空公司、商会、协会或企业或企业开通新航线3条，提升喀什的运力和空中通道的便捷度</w:t>
      </w:r>
      <w:r>
        <w:rPr>
          <w:rFonts w:hint="eastAsia" w:ascii="仿宋" w:hAnsi="仿宋" w:eastAsia="仿宋"/>
          <w:b w:val="0"/>
          <w:bCs w:val="0"/>
          <w:color w:val="auto"/>
          <w:spacing w:val="-4"/>
          <w:sz w:val="32"/>
          <w:szCs w:val="32"/>
          <w:shd w:val="clear" w:color="auto" w:fill="auto"/>
          <w:lang w:eastAsia="zh-CN"/>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3、项目用途及范围</w:t>
      </w:r>
    </w:p>
    <w:p>
      <w:pPr>
        <w:adjustRightInd w:val="0"/>
        <w:snapToGrid w:val="0"/>
        <w:spacing w:line="560" w:lineRule="exact"/>
        <w:ind w:firstLine="624" w:firstLineChars="200"/>
        <w:outlineLvl w:val="0"/>
        <w:rPr>
          <w:rStyle w:val="20"/>
          <w:rFonts w:hint="eastAsia" w:ascii="黑体" w:hAnsi="黑体" w:eastAsia="仿宋"/>
          <w:b w:val="0"/>
          <w:color w:val="auto"/>
          <w:spacing w:val="-4"/>
          <w:sz w:val="32"/>
          <w:szCs w:val="32"/>
          <w:shd w:val="clear" w:color="auto" w:fill="auto"/>
          <w:lang w:val="en-US" w:eastAsia="zh-CN"/>
        </w:rPr>
      </w:pPr>
      <w:r>
        <w:rPr>
          <w:rFonts w:hint="eastAsia" w:ascii="仿宋" w:hAnsi="仿宋" w:eastAsia="仿宋"/>
          <w:b w:val="0"/>
          <w:bCs w:val="0"/>
          <w:color w:val="auto"/>
          <w:spacing w:val="-4"/>
          <w:sz w:val="32"/>
          <w:szCs w:val="32"/>
          <w:shd w:val="clear" w:color="auto" w:fill="auto"/>
        </w:rPr>
        <w:t>开通新航线3条，提升喀什的运力和空中通道的便捷度</w:t>
      </w:r>
      <w:r>
        <w:rPr>
          <w:rFonts w:hint="eastAsia" w:ascii="仿宋" w:hAnsi="仿宋" w:eastAsia="仿宋"/>
          <w:b w:val="0"/>
          <w:bCs w:val="0"/>
          <w:color w:val="auto"/>
          <w:spacing w:val="-4"/>
          <w:sz w:val="32"/>
          <w:szCs w:val="32"/>
          <w:shd w:val="clear" w:color="auto" w:fill="auto"/>
          <w:lang w:eastAsia="zh-CN"/>
        </w:rPr>
        <w:t>。</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二、项目资金使用及管理情况</w:t>
      </w:r>
    </w:p>
    <w:p>
      <w:pPr>
        <w:adjustRightInd w:val="0"/>
        <w:snapToGrid w:val="0"/>
        <w:spacing w:line="560" w:lineRule="exact"/>
        <w:ind w:firstLine="627" w:firstLineChars="200"/>
        <w:outlineLvl w:val="0"/>
        <w:rPr>
          <w:rStyle w:val="20"/>
          <w:rFonts w:hint="eastAsia"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（一）项目资金安排落实、总投入等情况分析</w:t>
      </w:r>
    </w:p>
    <w:p>
      <w:pPr>
        <w:adjustRightInd w:val="0"/>
        <w:snapToGrid w:val="0"/>
        <w:spacing w:line="560" w:lineRule="exact"/>
        <w:ind w:firstLine="640" w:firstLineChars="200"/>
        <w:outlineLvl w:val="0"/>
        <w:rPr>
          <w:rFonts w:hint="eastAsia" w:ascii="仿宋" w:hAnsi="仿宋" w:eastAsia="仿宋"/>
          <w:bCs/>
          <w:color w:val="auto"/>
          <w:spacing w:val="-4"/>
          <w:sz w:val="32"/>
          <w:szCs w:val="32"/>
          <w:shd w:val="clear" w:color="auto" w:fill="auto"/>
          <w:lang w:val="en-US" w:eastAsia="zh-CN"/>
        </w:rPr>
      </w:pPr>
      <w:r>
        <w:rPr>
          <w:rFonts w:hint="eastAsia" w:ascii="仿宋" w:hAnsi="仿宋" w:eastAsia="仿宋" w:cs="Times New Roman"/>
          <w:color w:val="auto"/>
          <w:kern w:val="2"/>
          <w:sz w:val="32"/>
          <w:szCs w:val="32"/>
          <w:shd w:val="clear" w:color="auto" w:fill="auto"/>
          <w:lang w:val="en-US" w:eastAsia="zh-CN" w:bidi="ar-SA"/>
        </w:rPr>
        <w:t>此项目</w:t>
      </w:r>
      <w:r>
        <w:rPr>
          <w:rFonts w:hint="eastAsia" w:ascii="仿宋" w:hAnsi="仿宋" w:eastAsia="仿宋"/>
          <w:color w:val="auto"/>
          <w:sz w:val="32"/>
          <w:szCs w:val="32"/>
          <w:shd w:val="clear" w:color="auto" w:fill="auto"/>
          <w:lang w:val="en-US" w:eastAsia="zh-CN"/>
        </w:rPr>
        <w:t>预算安排总额为1900万元，其中财政资金1900万元，2018年实际收到预算资金1900万元。</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（二）项目资金实际使用情况分析</w:t>
      </w:r>
    </w:p>
    <w:p>
      <w:pPr>
        <w:adjustRightInd w:val="0"/>
        <w:snapToGrid w:val="0"/>
        <w:spacing w:line="560" w:lineRule="exact"/>
        <w:ind w:firstLine="624" w:firstLineChars="200"/>
        <w:outlineLvl w:val="0"/>
        <w:rPr>
          <w:rFonts w:hint="eastAsia" w:ascii="仿宋" w:hAnsi="仿宋" w:eastAsia="仿宋"/>
          <w:bCs/>
          <w:color w:val="auto"/>
          <w:spacing w:val="-4"/>
          <w:sz w:val="32"/>
          <w:szCs w:val="32"/>
          <w:shd w:val="clear" w:color="auto" w:fill="auto"/>
          <w:lang w:val="en-US" w:eastAsia="zh-CN"/>
        </w:rPr>
      </w:pPr>
      <w:r>
        <w:rPr>
          <w:rFonts w:hint="eastAsia" w:ascii="仿宋" w:hAnsi="仿宋" w:eastAsia="仿宋"/>
          <w:bCs/>
          <w:color w:val="auto"/>
          <w:spacing w:val="-4"/>
          <w:sz w:val="32"/>
          <w:szCs w:val="32"/>
          <w:shd w:val="clear" w:color="auto" w:fill="auto"/>
          <w:lang w:val="en-US" w:eastAsia="zh-CN"/>
        </w:rPr>
        <w:t>截止2018年12月，本项目实际支付资金0万元，预算执行率为0%。由于未收到新开辟航线补贴申请材料，未发生支出。</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（三）项目资金管理情况分析</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由喀什地区牵头制定《喀什地区培育国际国内航线及过夜航班专项补贴资金使用管理暂行办法》（喀署发〔2016〕31号），由喀什地区发展改革委员会及喀什经济开发区发展改革和经济促进局负责航线补贴专项资金的审核，由喀什经济开发区财政局发放。</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三、项目组织实施情况</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（一）项目组织情况分析</w:t>
      </w:r>
    </w:p>
    <w:p>
      <w:pPr>
        <w:adjustRightInd w:val="0"/>
        <w:snapToGrid w:val="0"/>
        <w:spacing w:line="560" w:lineRule="exact"/>
        <w:ind w:firstLine="624" w:firstLineChars="200"/>
        <w:rPr>
          <w:rStyle w:val="20"/>
          <w:rFonts w:ascii="仿宋" w:hAnsi="仿宋" w:eastAsia="仿宋"/>
          <w:b w:val="0"/>
          <w:color w:val="auto"/>
          <w:spacing w:val="-4"/>
          <w:sz w:val="32"/>
          <w:szCs w:val="32"/>
        </w:rPr>
      </w:pPr>
      <w:r>
        <w:rPr>
          <w:rStyle w:val="20"/>
          <w:rFonts w:hint="eastAsia" w:ascii="仿宋" w:hAnsi="仿宋" w:eastAsia="仿宋"/>
          <w:b w:val="0"/>
          <w:spacing w:val="-4"/>
          <w:sz w:val="32"/>
          <w:szCs w:val="32"/>
        </w:rPr>
        <w:t>凡符合开辟新航线的航空公司、商会、协会或企业或企业开通新航线前，需向喀什地区发改委提出申请，并签订新开辟航线协议。</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（二）项目管理情况分析</w:t>
      </w:r>
    </w:p>
    <w:p>
      <w:pPr>
        <w:adjustRightInd w:val="0"/>
        <w:snapToGrid w:val="0"/>
        <w:spacing w:line="560" w:lineRule="exact"/>
        <w:ind w:firstLine="624" w:firstLineChars="200"/>
        <w:rPr>
          <w:rStyle w:val="20"/>
          <w:rFonts w:ascii="仿宋" w:hAnsi="仿宋" w:eastAsia="仿宋"/>
          <w:b w:val="0"/>
          <w:color w:val="auto"/>
          <w:spacing w:val="-4"/>
          <w:sz w:val="32"/>
          <w:szCs w:val="32"/>
        </w:rPr>
      </w:pPr>
      <w:r>
        <w:rPr>
          <w:rStyle w:val="20"/>
          <w:rFonts w:hint="eastAsia" w:ascii="仿宋" w:hAnsi="仿宋" w:eastAsia="仿宋"/>
          <w:b w:val="0"/>
          <w:color w:val="auto"/>
          <w:spacing w:val="-4"/>
          <w:sz w:val="32"/>
          <w:szCs w:val="32"/>
        </w:rPr>
        <w:t>喀什地区发改委负责新开辟国际国内航线及过夜航班的申请受理、补贴资金协议的签订和补贴资金的审批；喀什经济开发区财政局负责补贴资金发放；喀什机场负责审核航空企业申报享受补贴的当月执飞航班放行单、客（货）运舱单和过夜航班服务单等资料。审计、监察部门对补贴资金的使用进行监督检查。</w:t>
      </w:r>
    </w:p>
    <w:p>
      <w:pPr>
        <w:adjustRightInd w:val="0"/>
        <w:snapToGrid w:val="0"/>
        <w:spacing w:line="560" w:lineRule="exact"/>
        <w:ind w:firstLine="624" w:firstLineChars="200"/>
        <w:outlineLvl w:val="0"/>
        <w:rPr>
          <w:rStyle w:val="20"/>
          <w:rFonts w:ascii="黑体" w:hAnsi="黑体" w:eastAsia="黑体"/>
          <w:color w:val="auto"/>
          <w:shd w:val="clear" w:color="auto" w:fill="auto"/>
        </w:rPr>
      </w:pPr>
      <w:r>
        <w:rPr>
          <w:rStyle w:val="20"/>
          <w:rFonts w:hint="eastAsia" w:ascii="黑体" w:hAnsi="黑体" w:eastAsia="黑体"/>
          <w:b w:val="0"/>
          <w:color w:val="auto"/>
          <w:spacing w:val="-4"/>
          <w:sz w:val="32"/>
          <w:szCs w:val="32"/>
          <w:shd w:val="clear" w:color="auto" w:fill="auto"/>
        </w:rPr>
        <w:t>四、项目绩效情况</w:t>
      </w:r>
    </w:p>
    <w:p>
      <w:pPr>
        <w:adjustRightInd w:val="0"/>
        <w:snapToGrid w:val="0"/>
        <w:spacing w:line="560" w:lineRule="exact"/>
        <w:ind w:firstLine="627" w:firstLineChars="200"/>
        <w:outlineLvl w:val="0"/>
        <w:rPr>
          <w:rFonts w:hint="eastAsia"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（一）项目绩效目标完成情况分析</w:t>
      </w:r>
    </w:p>
    <w:p>
      <w:pPr>
        <w:adjustRightInd w:val="0"/>
        <w:snapToGrid w:val="0"/>
        <w:spacing w:line="560" w:lineRule="exact"/>
        <w:ind w:firstLine="624" w:firstLineChars="200"/>
        <w:rPr>
          <w:rFonts w:hint="eastAsia" w:ascii="楷体" w:hAnsi="楷体" w:eastAsia="楷体"/>
          <w:b/>
          <w:color w:val="auto"/>
          <w:spacing w:val="-4"/>
          <w:sz w:val="32"/>
          <w:szCs w:val="32"/>
          <w:shd w:val="clear" w:color="auto" w:fill="auto"/>
        </w:rPr>
      </w:pPr>
      <w:r>
        <w:rPr>
          <w:rStyle w:val="20"/>
          <w:rFonts w:hint="eastAsia" w:ascii="仿宋" w:hAnsi="仿宋" w:eastAsia="仿宋"/>
          <w:b w:val="0"/>
          <w:color w:val="auto"/>
          <w:spacing w:val="-4"/>
          <w:sz w:val="32"/>
          <w:szCs w:val="32"/>
        </w:rPr>
        <w:t>由于未收到相关补贴申请资料，该资金未形成实际支出。</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由于未收到相关补贴申请资料，该资金未形成实际支出。</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eastAsia="zh-CN"/>
        </w:rPr>
      </w:pPr>
      <w:r>
        <w:rPr>
          <w:rFonts w:hint="eastAsia" w:ascii="仿宋" w:hAnsi="仿宋" w:eastAsia="仿宋" w:cs="仿宋"/>
          <w:bCs/>
          <w:spacing w:val="-4"/>
          <w:sz w:val="32"/>
          <w:szCs w:val="32"/>
        </w:rPr>
        <w:t>加强与喀什地区发改委、喀什机场的联系和协调对接，发挥资金效益。该政策2019年4月22日截止，至截止日仍未使用则盘活资金收回财政统筹使用。</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（二）主要经验及做法、存在问题和建议</w:t>
      </w:r>
    </w:p>
    <w:p>
      <w:pPr>
        <w:pStyle w:val="16"/>
        <w:keepNext w:val="0"/>
        <w:keepLines w:val="0"/>
        <w:widowControl/>
        <w:suppressLineNumbers w:val="0"/>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1、主要经验及做法。无</w:t>
      </w:r>
    </w:p>
    <w:p>
      <w:pPr>
        <w:adjustRightInd w:val="0"/>
        <w:snapToGrid w:val="0"/>
        <w:spacing w:line="56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2、存在的问题。无</w:t>
      </w:r>
    </w:p>
    <w:p>
      <w:pPr>
        <w:adjustRightInd w:val="0"/>
        <w:snapToGrid w:val="0"/>
        <w:spacing w:line="560" w:lineRule="exact"/>
        <w:ind w:firstLine="624" w:firstLineChars="200"/>
        <w:outlineLvl w:val="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3、建议。无</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（三）其他</w:t>
      </w:r>
    </w:p>
    <w:p>
      <w:pPr>
        <w:adjustRightInd w:val="0"/>
        <w:snapToGrid w:val="0"/>
        <w:spacing w:line="560" w:lineRule="exact"/>
        <w:ind w:firstLine="624" w:firstLineChars="200"/>
        <w:rPr>
          <w:rFonts w:ascii="仿宋" w:hAnsi="仿宋" w:eastAsia="仿宋"/>
          <w:color w:val="auto"/>
          <w:spacing w:val="-4"/>
          <w:sz w:val="32"/>
          <w:szCs w:val="32"/>
          <w:shd w:val="clear" w:color="auto" w:fill="auto"/>
        </w:rPr>
      </w:pPr>
      <w:r>
        <w:rPr>
          <w:rFonts w:hint="eastAsia" w:ascii="仿宋" w:hAnsi="仿宋" w:eastAsia="仿宋"/>
          <w:color w:val="auto"/>
          <w:spacing w:val="-4"/>
          <w:sz w:val="32"/>
          <w:szCs w:val="32"/>
          <w:shd w:val="clear" w:color="auto" w:fill="auto"/>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六、项目评价工作情况</w:t>
      </w:r>
    </w:p>
    <w:p>
      <w:pPr>
        <w:ind w:firstLine="624" w:firstLineChars="200"/>
        <w:rPr>
          <w:rFonts w:hint="eastAsia" w:ascii="仿宋" w:hAnsi="仿宋" w:eastAsia="仿宋"/>
          <w:color w:val="auto"/>
          <w:spacing w:val="-4"/>
          <w:sz w:val="32"/>
          <w:szCs w:val="32"/>
        </w:rPr>
      </w:pPr>
      <w:r>
        <w:rPr>
          <w:rFonts w:hint="eastAsia" w:ascii="仿宋_GB2312" w:eastAsia="仿宋_GB2312"/>
          <w:spacing w:val="-4"/>
          <w:sz w:val="32"/>
          <w:szCs w:val="32"/>
        </w:rPr>
        <w:t>基础评价数据根据财政拨付资金指标，收到资金情况。</w:t>
      </w:r>
      <w:bookmarkStart w:id="0" w:name="_GoBack"/>
      <w:bookmarkEnd w:id="0"/>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七、附表</w:t>
      </w:r>
    </w:p>
    <w:p>
      <w:pPr>
        <w:adjustRightInd w:val="0"/>
        <w:snapToGrid w:val="0"/>
        <w:spacing w:line="560" w:lineRule="exact"/>
        <w:ind w:firstLine="624" w:firstLineChars="200"/>
        <w:rPr>
          <w:rStyle w:val="20"/>
          <w:rFonts w:ascii="仿宋" w:hAnsi="仿宋" w:eastAsia="仿宋"/>
          <w:b w:val="0"/>
          <w:color w:val="auto"/>
          <w:spacing w:val="-4"/>
          <w:sz w:val="32"/>
          <w:szCs w:val="32"/>
          <w:shd w:val="clear" w:color="auto" w:fill="auto"/>
        </w:rPr>
      </w:pPr>
      <w:r>
        <w:rPr>
          <w:rStyle w:val="20"/>
          <w:rFonts w:hint="eastAsia" w:ascii="仿宋" w:hAnsi="仿宋" w:eastAsia="仿宋"/>
          <w:b w:val="0"/>
          <w:color w:val="auto"/>
          <w:spacing w:val="-4"/>
          <w:sz w:val="32"/>
          <w:szCs w:val="32"/>
          <w:shd w:val="clear" w:color="auto" w:fill="auto"/>
        </w:rPr>
        <w:t>《项目支出绩效目标自评表》</w:t>
      </w:r>
    </w:p>
    <w:p>
      <w:pPr>
        <w:adjustRightInd w:val="0"/>
        <w:snapToGrid w:val="0"/>
        <w:spacing w:line="560" w:lineRule="exact"/>
        <w:ind w:firstLine="627" w:firstLineChars="200"/>
        <w:rPr>
          <w:rStyle w:val="20"/>
          <w:rFonts w:ascii="仿宋" w:hAnsi="仿宋" w:eastAsia="仿宋"/>
          <w:color w:val="auto"/>
          <w:spacing w:val="-4"/>
          <w:sz w:val="32"/>
          <w:szCs w:val="32"/>
          <w:shd w:val="clear" w:color="auto" w:fill="auto"/>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392C88"/>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861963"/>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semiHidden/>
    <w:unhideWhenUsed/>
    <w:qFormat/>
    <w:uiPriority w:val="99"/>
    <w:pPr>
      <w:spacing w:before="0" w:beforeAutospacing="0" w:after="0" w:afterAutospacing="0"/>
      <w:ind w:left="0" w:right="0"/>
      <w:jc w:val="left"/>
    </w:pPr>
    <w:rPr>
      <w:kern w:val="0"/>
      <w:sz w:val="24"/>
      <w:lang w:val="en-US" w:eastAsia="zh-CN" w:bidi="ar"/>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Char"/>
    <w:basedOn w:val="19"/>
    <w:link w:val="2"/>
    <w:qFormat/>
    <w:uiPriority w:val="9"/>
    <w:rPr>
      <w:rFonts w:asciiTheme="majorHAnsi" w:hAnsiTheme="majorHAnsi" w:eastAsiaTheme="majorEastAsia"/>
      <w:b/>
      <w:bCs/>
      <w:kern w:val="32"/>
      <w:sz w:val="32"/>
      <w:szCs w:val="32"/>
    </w:rPr>
  </w:style>
  <w:style w:type="character" w:customStyle="1" w:styleId="23">
    <w:name w:val="标题 2 Char"/>
    <w:basedOn w:val="19"/>
    <w:link w:val="3"/>
    <w:semiHidden/>
    <w:qFormat/>
    <w:uiPriority w:val="9"/>
    <w:rPr>
      <w:rFonts w:asciiTheme="majorHAnsi" w:hAnsiTheme="majorHAnsi" w:eastAsiaTheme="majorEastAsia"/>
      <w:b/>
      <w:bCs/>
      <w:i/>
      <w:iCs/>
      <w:sz w:val="28"/>
      <w:szCs w:val="28"/>
    </w:rPr>
  </w:style>
  <w:style w:type="character" w:customStyle="1" w:styleId="24">
    <w:name w:val="标题 3 Char"/>
    <w:basedOn w:val="19"/>
    <w:link w:val="4"/>
    <w:semiHidden/>
    <w:qFormat/>
    <w:uiPriority w:val="9"/>
    <w:rPr>
      <w:rFonts w:asciiTheme="majorHAnsi" w:hAnsiTheme="majorHAnsi" w:eastAsiaTheme="majorEastAsia"/>
      <w:b/>
      <w:bCs/>
      <w:sz w:val="26"/>
      <w:szCs w:val="26"/>
    </w:rPr>
  </w:style>
  <w:style w:type="character" w:customStyle="1" w:styleId="25">
    <w:name w:val="标题 4 Char"/>
    <w:basedOn w:val="19"/>
    <w:link w:val="5"/>
    <w:semiHidden/>
    <w:qFormat/>
    <w:uiPriority w:val="9"/>
    <w:rPr>
      <w:b/>
      <w:bCs/>
      <w:sz w:val="28"/>
      <w:szCs w:val="28"/>
    </w:rPr>
  </w:style>
  <w:style w:type="character" w:customStyle="1" w:styleId="26">
    <w:name w:val="标题 5 Char"/>
    <w:basedOn w:val="19"/>
    <w:link w:val="6"/>
    <w:semiHidden/>
    <w:uiPriority w:val="9"/>
    <w:rPr>
      <w:b/>
      <w:bCs/>
      <w:i/>
      <w:iCs/>
      <w:sz w:val="26"/>
      <w:szCs w:val="26"/>
    </w:rPr>
  </w:style>
  <w:style w:type="character" w:customStyle="1" w:styleId="27">
    <w:name w:val="标题 6 Char"/>
    <w:basedOn w:val="19"/>
    <w:link w:val="7"/>
    <w:semiHidden/>
    <w:qFormat/>
    <w:uiPriority w:val="9"/>
    <w:rPr>
      <w:b/>
      <w:bCs/>
    </w:rPr>
  </w:style>
  <w:style w:type="character" w:customStyle="1" w:styleId="28">
    <w:name w:val="标题 7 Char"/>
    <w:basedOn w:val="19"/>
    <w:link w:val="8"/>
    <w:semiHidden/>
    <w:qFormat/>
    <w:uiPriority w:val="9"/>
    <w:rPr>
      <w:sz w:val="24"/>
      <w:szCs w:val="24"/>
    </w:rPr>
  </w:style>
  <w:style w:type="character" w:customStyle="1" w:styleId="29">
    <w:name w:val="标题 8 Char"/>
    <w:basedOn w:val="19"/>
    <w:link w:val="9"/>
    <w:semiHidden/>
    <w:qFormat/>
    <w:uiPriority w:val="9"/>
    <w:rPr>
      <w:i/>
      <w:iCs/>
      <w:sz w:val="24"/>
      <w:szCs w:val="24"/>
    </w:rPr>
  </w:style>
  <w:style w:type="character" w:customStyle="1" w:styleId="30">
    <w:name w:val="标题 9 Char"/>
    <w:basedOn w:val="19"/>
    <w:link w:val="10"/>
    <w:semiHidden/>
    <w:qFormat/>
    <w:uiPriority w:val="9"/>
    <w:rPr>
      <w:rFonts w:asciiTheme="majorHAnsi" w:hAnsiTheme="majorHAnsi" w:eastAsiaTheme="majorEastAsia"/>
    </w:rPr>
  </w:style>
  <w:style w:type="character" w:customStyle="1" w:styleId="31">
    <w:name w:val="标题 Char"/>
    <w:basedOn w:val="19"/>
    <w:link w:val="17"/>
    <w:qFormat/>
    <w:uiPriority w:val="10"/>
    <w:rPr>
      <w:rFonts w:asciiTheme="majorHAnsi" w:hAnsiTheme="majorHAnsi" w:eastAsiaTheme="majorEastAsia"/>
      <w:b/>
      <w:bCs/>
      <w:kern w:val="28"/>
      <w:sz w:val="32"/>
      <w:szCs w:val="32"/>
    </w:rPr>
  </w:style>
  <w:style w:type="character" w:customStyle="1" w:styleId="32">
    <w:name w:val="副标题 Char"/>
    <w:basedOn w:val="19"/>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9"/>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9"/>
    <w:qFormat/>
    <w:uiPriority w:val="21"/>
    <w:rPr>
      <w:b/>
      <w:i/>
      <w:sz w:val="24"/>
      <w:szCs w:val="24"/>
      <w:u w:val="single"/>
    </w:rPr>
  </w:style>
  <w:style w:type="character" w:customStyle="1" w:styleId="41">
    <w:name w:val="Subtle Reference"/>
    <w:basedOn w:val="19"/>
    <w:qFormat/>
    <w:uiPriority w:val="31"/>
    <w:rPr>
      <w:sz w:val="24"/>
      <w:szCs w:val="24"/>
      <w:u w:val="single"/>
    </w:rPr>
  </w:style>
  <w:style w:type="character" w:customStyle="1" w:styleId="42">
    <w:name w:val="Intense Reference"/>
    <w:basedOn w:val="19"/>
    <w:qFormat/>
    <w:uiPriority w:val="32"/>
    <w:rPr>
      <w:b/>
      <w:sz w:val="24"/>
      <w:u w:val="single"/>
    </w:rPr>
  </w:style>
  <w:style w:type="character" w:customStyle="1" w:styleId="43">
    <w:name w:val="Book Title"/>
    <w:basedOn w:val="19"/>
    <w:qFormat/>
    <w:uiPriority w:val="33"/>
    <w:rPr>
      <w:rFonts w:asciiTheme="majorHAnsi" w:hAnsiTheme="majorHAnsi" w:eastAsiaTheme="majorEastAsia"/>
      <w:b/>
      <w:i/>
      <w:sz w:val="24"/>
      <w:szCs w:val="24"/>
    </w:rPr>
  </w:style>
  <w:style w:type="paragraph" w:customStyle="1" w:styleId="44">
    <w:name w:val="TOC Heading"/>
    <w:basedOn w:val="2"/>
    <w:next w:val="1"/>
    <w:semiHidden/>
    <w:unhideWhenUsed/>
    <w:qFormat/>
    <w:uiPriority w:val="39"/>
    <w:pPr>
      <w:outlineLvl w:val="9"/>
    </w:pPr>
    <w:rPr>
      <w:lang w:eastAsia="en-US" w:bidi="en-US"/>
    </w:rPr>
  </w:style>
  <w:style w:type="character" w:customStyle="1" w:styleId="45">
    <w:name w:val="页眉 Char"/>
    <w:basedOn w:val="19"/>
    <w:link w:val="14"/>
    <w:qFormat/>
    <w:uiPriority w:val="99"/>
    <w:rPr>
      <w:rFonts w:ascii="Calibri" w:hAnsi="Calibri" w:eastAsia="宋体"/>
      <w:kern w:val="2"/>
      <w:sz w:val="18"/>
      <w:szCs w:val="18"/>
    </w:rPr>
  </w:style>
  <w:style w:type="character" w:customStyle="1" w:styleId="46">
    <w:name w:val="页脚 Char"/>
    <w:basedOn w:val="19"/>
    <w:link w:val="13"/>
    <w:uiPriority w:val="99"/>
    <w:rPr>
      <w:rFonts w:ascii="Calibri" w:hAnsi="Calibri" w:eastAsia="宋体"/>
      <w:kern w:val="2"/>
      <w:sz w:val="18"/>
      <w:szCs w:val="18"/>
    </w:rPr>
  </w:style>
  <w:style w:type="character" w:customStyle="1" w:styleId="47">
    <w:name w:val="文档结构图 Char"/>
    <w:basedOn w:val="19"/>
    <w:link w:val="11"/>
    <w:semiHidden/>
    <w:uiPriority w:val="99"/>
    <w:rPr>
      <w:rFonts w:ascii="宋体" w:hAnsi="Times New Roman" w:eastAsia="宋体"/>
      <w:kern w:val="2"/>
      <w:sz w:val="18"/>
      <w:szCs w:val="18"/>
    </w:rPr>
  </w:style>
  <w:style w:type="character" w:customStyle="1" w:styleId="48">
    <w:name w:val="批注框文本 Char"/>
    <w:basedOn w:val="19"/>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angelia</cp:lastModifiedBy>
  <cp:lastPrinted>2018-12-17T10:15:00Z</cp:lastPrinted>
  <dcterms:modified xsi:type="dcterms:W3CDTF">2019-10-20T11:34:45Z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