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pStyle w:val="49"/>
        <w:spacing w:line="540" w:lineRule="exact"/>
        <w:jc w:val="center"/>
        <w:rPr>
          <w:rFonts w:ascii="华文中宋" w:hAnsi="华文中宋" w:eastAsia="华文中宋" w:cs="华文中宋"/>
          <w:b/>
          <w:bCs/>
          <w:color w:val="auto"/>
          <w:kern w:val="0"/>
          <w:sz w:val="52"/>
          <w:szCs w:val="52"/>
          <w:shd w:val="clear" w:color="auto" w:fill="auto"/>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自治区</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财政国库专项业务经费</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喀什经济开发区财政局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喀什经济开发区管理委员会</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陈岚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01</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15</w:t>
      </w:r>
      <w:r>
        <w:rPr>
          <w:rFonts w:hint="eastAsia" w:hAnsi="宋体" w:eastAsia="仿宋_GB2312" w:cs="宋体"/>
          <w:kern w:val="0"/>
          <w:sz w:val="36"/>
          <w:szCs w:val="36"/>
        </w:rPr>
        <w:t>日</w:t>
      </w:r>
    </w:p>
    <w:p>
      <w:pPr>
        <w:pStyle w:val="49"/>
        <w:spacing w:line="700" w:lineRule="exact"/>
        <w:ind w:firstLine="624" w:firstLineChars="200"/>
        <w:jc w:val="left"/>
        <w:rPr>
          <w:rStyle w:val="20"/>
          <w:rFonts w:hint="eastAsia" w:ascii="黑体" w:hAnsi="黑体" w:eastAsia="黑体"/>
          <w:b w:val="0"/>
          <w:color w:val="auto"/>
          <w:spacing w:val="-4"/>
          <w:sz w:val="32"/>
          <w:szCs w:val="32"/>
          <w:shd w:val="clear" w:color="auto" w:fill="auto"/>
        </w:rPr>
      </w:pPr>
    </w:p>
    <w:p>
      <w:pPr>
        <w:pStyle w:val="49"/>
        <w:spacing w:line="700" w:lineRule="exact"/>
        <w:jc w:val="left"/>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一、项目概况</w:t>
      </w:r>
    </w:p>
    <w:p>
      <w:pPr>
        <w:adjustRightInd w:val="0"/>
        <w:snapToGrid w:val="0"/>
        <w:spacing w:line="560" w:lineRule="exact"/>
        <w:ind w:firstLine="627" w:firstLineChars="20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（一）项目单位基本情况</w:t>
      </w:r>
    </w:p>
    <w:p>
      <w:pPr>
        <w:adjustRightInd w:val="0"/>
        <w:snapToGrid w:val="0"/>
        <w:spacing w:line="560" w:lineRule="exact"/>
        <w:ind w:firstLine="640" w:firstLineChars="200"/>
        <w:rPr>
          <w:rFonts w:hint="eastAsia"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喀什经济开发区财政局，为喀什经济开发区管委会下设部门单位，主要负责开发区财政收支管理工作；负责预算、决算编制工作；负责政府采购、国有资产管理、财政资金绩效管理、债务管理和财政监督工作；负责开发区所属单位财务人员培训工作；负责拟定和执行统一规定的行政事业单位开支标准；负责项目资金审查监管工作；设立代理国库，代行国库职能；负责开发区税收管理协调工作等事项。编制数15人，其中：行政人员编制8人，全额拨款事业单位人员编制7人。</w:t>
      </w:r>
    </w:p>
    <w:p>
      <w:pPr>
        <w:adjustRightInd w:val="0"/>
        <w:snapToGrid w:val="0"/>
        <w:spacing w:line="560" w:lineRule="exact"/>
        <w:ind w:firstLine="627" w:firstLineChars="20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（二）项目预算</w:t>
      </w:r>
      <w:r>
        <w:rPr>
          <w:rStyle w:val="20"/>
          <w:rFonts w:ascii="楷体" w:hAnsi="楷体" w:eastAsia="楷体"/>
          <w:color w:val="auto"/>
          <w:spacing w:val="-4"/>
          <w:sz w:val="32"/>
          <w:szCs w:val="32"/>
          <w:shd w:val="clear" w:color="auto" w:fill="auto"/>
        </w:rPr>
        <w:t>绩效目标</w:t>
      </w:r>
      <w:r>
        <w:rPr>
          <w:rStyle w:val="20"/>
          <w:rFonts w:hint="eastAsia" w:ascii="楷体" w:hAnsi="楷体" w:eastAsia="楷体"/>
          <w:color w:val="auto"/>
          <w:spacing w:val="-4"/>
          <w:sz w:val="32"/>
          <w:szCs w:val="32"/>
          <w:shd w:val="clear" w:color="auto" w:fill="auto"/>
        </w:rPr>
        <w:t>设定情况</w:t>
      </w:r>
    </w:p>
    <w:p>
      <w:pPr>
        <w:adjustRightInd w:val="0"/>
        <w:snapToGrid w:val="0"/>
        <w:spacing w:line="560" w:lineRule="exact"/>
        <w:ind w:firstLine="627" w:firstLineChars="200"/>
        <w:rPr>
          <w:rFonts w:hint="eastAsia"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1、项目预期目标及阶段性目标</w:t>
      </w:r>
    </w:p>
    <w:p>
      <w:pPr>
        <w:keepNext w:val="0"/>
        <w:keepLines w:val="0"/>
        <w:pageBreakBefore w:val="0"/>
        <w:widowControl w:val="0"/>
        <w:numPr>
          <w:ilvl w:val="0"/>
          <w:numId w:val="0"/>
        </w:numPr>
        <w:kinsoku/>
        <w:wordWrap/>
        <w:overflowPunct/>
        <w:topLinePunct w:val="0"/>
        <w:autoSpaceDE/>
        <w:autoSpaceDN/>
        <w:bidi w:val="0"/>
        <w:adjustRightInd/>
        <w:snapToGrid/>
        <w:ind w:firstLine="624" w:firstLineChars="200"/>
        <w:jc w:val="left"/>
        <w:textAlignment w:val="auto"/>
        <w:rPr>
          <w:rFonts w:hint="eastAsia" w:ascii="仿宋" w:hAnsi="仿宋" w:eastAsia="仿宋" w:cs="仿宋"/>
          <w:bCs/>
          <w:color w:val="auto"/>
          <w:spacing w:val="-4"/>
          <w:sz w:val="32"/>
          <w:szCs w:val="32"/>
          <w:shd w:val="clear" w:color="auto" w:fill="auto"/>
        </w:rPr>
      </w:pPr>
      <w:r>
        <w:rPr>
          <w:rFonts w:hint="eastAsia" w:ascii="仿宋" w:hAnsi="仿宋" w:eastAsia="仿宋"/>
          <w:b w:val="0"/>
          <w:bCs w:val="0"/>
          <w:color w:val="auto"/>
          <w:spacing w:val="-4"/>
          <w:sz w:val="32"/>
          <w:szCs w:val="32"/>
          <w:shd w:val="clear" w:color="auto" w:fill="auto"/>
          <w:lang w:eastAsia="zh-CN"/>
        </w:rPr>
        <w:t>本项目</w:t>
      </w:r>
      <w:r>
        <w:rPr>
          <w:rFonts w:hint="eastAsia" w:ascii="仿宋" w:hAnsi="仿宋" w:eastAsia="仿宋"/>
          <w:b w:val="0"/>
          <w:bCs w:val="0"/>
          <w:color w:val="auto"/>
          <w:spacing w:val="-4"/>
          <w:sz w:val="32"/>
          <w:szCs w:val="32"/>
          <w:shd w:val="clear" w:color="auto" w:fill="auto"/>
          <w:lang w:val="en-US" w:eastAsia="zh-CN"/>
        </w:rPr>
        <w:t>2018年目标是：弥补代理国库因办理开发区国库业务增加的办公及人员费用，以不断提高开发区国库业务水平、质量和效率。</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2、项目基本性质</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新增项目</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3、项目用途及范围</w:t>
      </w:r>
    </w:p>
    <w:p>
      <w:pPr>
        <w:adjustRightInd w:val="0"/>
        <w:snapToGrid w:val="0"/>
        <w:spacing w:line="560" w:lineRule="exact"/>
        <w:ind w:firstLine="624" w:firstLineChars="200"/>
        <w:outlineLvl w:val="0"/>
        <w:rPr>
          <w:rStyle w:val="20"/>
          <w:rFonts w:hint="eastAsia" w:ascii="黑体" w:hAnsi="黑体" w:eastAsia="黑体"/>
          <w:b w:val="0"/>
          <w:color w:val="auto"/>
          <w:spacing w:val="-4"/>
          <w:sz w:val="32"/>
          <w:szCs w:val="32"/>
          <w:shd w:val="clear" w:color="auto" w:fill="auto"/>
          <w:lang w:val="en-US" w:eastAsia="zh-CN"/>
        </w:rPr>
      </w:pPr>
      <w:r>
        <w:rPr>
          <w:rFonts w:hint="eastAsia" w:ascii="仿宋" w:hAnsi="仿宋" w:eastAsia="仿宋"/>
          <w:b w:val="0"/>
          <w:bCs w:val="0"/>
          <w:color w:val="auto"/>
          <w:spacing w:val="-4"/>
          <w:sz w:val="32"/>
          <w:szCs w:val="32"/>
          <w:shd w:val="clear" w:color="auto" w:fill="auto"/>
          <w:lang w:val="en-US" w:eastAsia="zh-CN"/>
        </w:rPr>
        <w:t>弥补代理国库因办理开发区国库业务增加的办公及人员费用</w:t>
      </w:r>
      <w:r>
        <w:rPr>
          <w:rFonts w:hint="eastAsia" w:ascii="仿宋" w:hAnsi="仿宋" w:eastAsia="仿宋"/>
          <w:bCs/>
          <w:color w:val="auto"/>
          <w:spacing w:val="-4"/>
          <w:sz w:val="32"/>
          <w:szCs w:val="32"/>
          <w:lang w:val="en-US" w:eastAsia="zh-CN"/>
        </w:rPr>
        <w:t>。</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二、项目资金使用及管理情况</w:t>
      </w:r>
    </w:p>
    <w:p>
      <w:pPr>
        <w:adjustRightInd w:val="0"/>
        <w:snapToGrid w:val="0"/>
        <w:spacing w:line="560" w:lineRule="exact"/>
        <w:ind w:firstLine="627" w:firstLineChars="200"/>
        <w:outlineLvl w:val="0"/>
        <w:rPr>
          <w:rStyle w:val="20"/>
          <w:rFonts w:hint="eastAsia"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（一）项目资金安排落实、总投入等情况分析</w:t>
      </w:r>
    </w:p>
    <w:p>
      <w:pPr>
        <w:adjustRightInd w:val="0"/>
        <w:snapToGrid w:val="0"/>
        <w:spacing w:line="560" w:lineRule="exact"/>
        <w:ind w:firstLine="624" w:firstLineChars="200"/>
        <w:outlineLvl w:val="0"/>
        <w:rPr>
          <w:rStyle w:val="20"/>
          <w:rFonts w:hint="eastAsia" w:ascii="仿宋" w:hAnsi="仿宋" w:eastAsia="仿宋"/>
          <w:b w:val="0"/>
          <w:spacing w:val="-4"/>
          <w:sz w:val="32"/>
          <w:szCs w:val="32"/>
          <w:lang w:val="en-US" w:eastAsia="zh-CN"/>
        </w:rPr>
      </w:pPr>
      <w:r>
        <w:rPr>
          <w:rStyle w:val="20"/>
          <w:rFonts w:hint="eastAsia" w:ascii="仿宋" w:hAnsi="仿宋" w:eastAsia="仿宋"/>
          <w:b w:val="0"/>
          <w:spacing w:val="-4"/>
          <w:sz w:val="32"/>
          <w:szCs w:val="32"/>
          <w:lang w:eastAsia="zh-CN"/>
        </w:rPr>
        <w:t>项目名称为专项业务工作经费，年初预算安排</w:t>
      </w:r>
      <w:r>
        <w:rPr>
          <w:rStyle w:val="20"/>
          <w:rFonts w:hint="eastAsia" w:ascii="仿宋" w:hAnsi="仿宋" w:eastAsia="仿宋"/>
          <w:b w:val="0"/>
          <w:spacing w:val="-4"/>
          <w:sz w:val="32"/>
          <w:szCs w:val="32"/>
          <w:lang w:val="en-US" w:eastAsia="zh-CN"/>
        </w:rPr>
        <w:t>10万元，资金来源为：</w:t>
      </w:r>
      <w:r>
        <w:rPr>
          <w:rStyle w:val="20"/>
          <w:rFonts w:hint="eastAsia" w:ascii="仿宋" w:hAnsi="仿宋" w:eastAsia="仿宋"/>
          <w:b w:val="0"/>
          <w:spacing w:val="-4"/>
          <w:sz w:val="32"/>
          <w:szCs w:val="32"/>
          <w:lang w:eastAsia="zh-CN"/>
        </w:rPr>
        <w:t>开发区本级财政资金安排，预期一部分</w:t>
      </w:r>
      <w:r>
        <w:rPr>
          <w:rStyle w:val="20"/>
          <w:rFonts w:hint="eastAsia" w:ascii="仿宋" w:hAnsi="仿宋" w:eastAsia="仿宋"/>
          <w:b w:val="0"/>
          <w:spacing w:val="-4"/>
          <w:sz w:val="32"/>
          <w:szCs w:val="32"/>
          <w:lang w:val="en-US" w:eastAsia="zh-CN"/>
        </w:rPr>
        <w:t>中国人民银行喀什地区中心支行，用于提高国库业务水平、质量和效率；一部分用于国库开展的业务培训等。但由于中国人民银行喀什地区中心支行根据上级相关规定不能接受财政部门相关经费拨款，同时国库上年未开展任何业务培训工作等原因，该项目资金实际支出金额为0。</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（二）项目资金实际使用情况分析</w:t>
      </w:r>
    </w:p>
    <w:p>
      <w:pPr>
        <w:adjustRightInd w:val="0"/>
        <w:snapToGrid w:val="0"/>
        <w:spacing w:line="560" w:lineRule="exact"/>
        <w:ind w:firstLine="624" w:firstLineChars="200"/>
        <w:rPr>
          <w:rFonts w:hint="eastAsia" w:ascii="仿宋" w:hAnsi="仿宋" w:eastAsia="仿宋"/>
          <w:bCs/>
          <w:color w:val="auto"/>
          <w:spacing w:val="-4"/>
          <w:sz w:val="32"/>
          <w:szCs w:val="32"/>
          <w:shd w:val="clear" w:color="auto" w:fill="auto"/>
          <w:lang w:val="en-US" w:eastAsia="zh-CN"/>
        </w:rPr>
      </w:pPr>
      <w:r>
        <w:rPr>
          <w:rFonts w:hint="eastAsia" w:ascii="仿宋" w:hAnsi="仿宋" w:eastAsia="仿宋"/>
          <w:bCs/>
          <w:color w:val="auto"/>
          <w:spacing w:val="-4"/>
          <w:sz w:val="32"/>
          <w:szCs w:val="32"/>
          <w:shd w:val="clear" w:color="auto" w:fill="auto"/>
          <w:lang w:val="en-US" w:eastAsia="zh-CN"/>
        </w:rPr>
        <w:t>截止2018年12月，本项目实际支付资金0万元，预算执行率为0%。</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（三）项目资金管理情况分析</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无</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三、项目组织实施情况</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（一）项目组织情况分析</w:t>
      </w:r>
    </w:p>
    <w:p>
      <w:pPr>
        <w:spacing w:line="540" w:lineRule="exact"/>
        <w:ind w:firstLine="640"/>
        <w:rPr>
          <w:rStyle w:val="20"/>
          <w:rFonts w:hint="eastAsia" w:ascii="仿宋" w:hAnsi="仿宋" w:eastAsia="仿宋"/>
          <w:b w:val="0"/>
          <w:spacing w:val="-4"/>
          <w:sz w:val="32"/>
          <w:szCs w:val="32"/>
          <w:lang w:eastAsia="zh-CN"/>
        </w:rPr>
      </w:pPr>
      <w:r>
        <w:rPr>
          <w:rStyle w:val="20"/>
          <w:rFonts w:hint="eastAsia" w:ascii="仿宋" w:hAnsi="仿宋" w:eastAsia="仿宋"/>
          <w:b w:val="0"/>
          <w:spacing w:val="-4"/>
          <w:sz w:val="32"/>
          <w:szCs w:val="32"/>
          <w:lang w:eastAsia="zh-CN"/>
        </w:rPr>
        <w:t>该项目为专项业务经费，未开展招标工作。</w:t>
      </w:r>
    </w:p>
    <w:p>
      <w:pPr>
        <w:adjustRightInd w:val="0"/>
        <w:snapToGrid w:val="0"/>
        <w:spacing w:line="560" w:lineRule="exact"/>
        <w:ind w:firstLine="627" w:firstLineChars="200"/>
        <w:outlineLvl w:val="0"/>
        <w:rPr>
          <w:rStyle w:val="20"/>
          <w:rFonts w:ascii="楷体" w:hAnsi="楷体" w:eastAsia="楷体"/>
          <w:color w:val="auto"/>
          <w:spacing w:val="-4"/>
          <w:sz w:val="32"/>
          <w:szCs w:val="32"/>
          <w:shd w:val="clear" w:color="auto" w:fill="auto"/>
        </w:rPr>
      </w:pPr>
      <w:r>
        <w:rPr>
          <w:rStyle w:val="20"/>
          <w:rFonts w:hint="eastAsia" w:ascii="楷体" w:hAnsi="楷体" w:eastAsia="楷体"/>
          <w:color w:val="auto"/>
          <w:spacing w:val="-4"/>
          <w:sz w:val="32"/>
          <w:szCs w:val="32"/>
          <w:shd w:val="clear" w:color="auto" w:fill="auto"/>
        </w:rPr>
        <w:t>（二）项目管理情况分析</w:t>
      </w:r>
    </w:p>
    <w:p>
      <w:pPr>
        <w:spacing w:line="540" w:lineRule="exact"/>
        <w:ind w:firstLine="640"/>
        <w:rPr>
          <w:rStyle w:val="20"/>
          <w:rFonts w:ascii="仿宋" w:hAnsi="仿宋" w:eastAsia="仿宋"/>
          <w:b w:val="0"/>
          <w:color w:val="auto"/>
          <w:spacing w:val="-4"/>
          <w:sz w:val="32"/>
          <w:szCs w:val="32"/>
        </w:rPr>
      </w:pPr>
      <w:r>
        <w:rPr>
          <w:rStyle w:val="20"/>
          <w:rFonts w:hint="eastAsia" w:ascii="仿宋" w:hAnsi="仿宋" w:eastAsia="仿宋"/>
          <w:b w:val="0"/>
          <w:spacing w:val="-4"/>
          <w:sz w:val="32"/>
          <w:szCs w:val="32"/>
          <w:lang w:eastAsia="zh-CN"/>
        </w:rPr>
        <w:t>严格预算执行管理，该项目先有预算，按照实际工作需要，在预算额度内予以安排，项目资金支付后，进行跟踪问效，确保资金效益。</w:t>
      </w:r>
    </w:p>
    <w:p>
      <w:pPr>
        <w:adjustRightInd w:val="0"/>
        <w:snapToGrid w:val="0"/>
        <w:spacing w:line="560" w:lineRule="exact"/>
        <w:ind w:firstLine="624" w:firstLineChars="200"/>
        <w:outlineLvl w:val="0"/>
        <w:rPr>
          <w:rStyle w:val="20"/>
          <w:rFonts w:ascii="黑体" w:hAnsi="黑体" w:eastAsia="黑体"/>
          <w:color w:val="auto"/>
          <w:shd w:val="clear" w:color="auto" w:fill="auto"/>
        </w:rPr>
      </w:pPr>
      <w:r>
        <w:rPr>
          <w:rStyle w:val="20"/>
          <w:rFonts w:hint="eastAsia" w:ascii="黑体" w:hAnsi="黑体" w:eastAsia="黑体"/>
          <w:b w:val="0"/>
          <w:color w:val="auto"/>
          <w:spacing w:val="-4"/>
          <w:sz w:val="32"/>
          <w:szCs w:val="32"/>
          <w:shd w:val="clear" w:color="auto" w:fill="auto"/>
        </w:rPr>
        <w:t>四、项目绩效情况</w:t>
      </w:r>
    </w:p>
    <w:p>
      <w:pPr>
        <w:adjustRightInd w:val="0"/>
        <w:snapToGrid w:val="0"/>
        <w:spacing w:line="560" w:lineRule="exact"/>
        <w:ind w:firstLine="627" w:firstLineChars="200"/>
        <w:outlineLvl w:val="0"/>
        <w:rPr>
          <w:rStyle w:val="20"/>
          <w:rFonts w:ascii="楷体" w:hAnsi="楷体" w:eastAsia="楷体"/>
          <w:bCs w:val="0"/>
          <w:color w:val="auto"/>
          <w:spacing w:val="-4"/>
          <w:sz w:val="32"/>
          <w:szCs w:val="32"/>
          <w:shd w:val="clear" w:color="auto" w:fill="auto"/>
        </w:rPr>
      </w:pPr>
      <w:r>
        <w:rPr>
          <w:rFonts w:hint="eastAsia" w:ascii="楷体" w:hAnsi="楷体" w:eastAsia="楷体"/>
          <w:b/>
          <w:color w:val="auto"/>
          <w:spacing w:val="-4"/>
          <w:sz w:val="32"/>
          <w:szCs w:val="32"/>
          <w:shd w:val="clear" w:color="auto" w:fill="auto"/>
        </w:rPr>
        <w:t>（一）项目绩效目标完成情况分析</w:t>
      </w:r>
    </w:p>
    <w:p>
      <w:pPr>
        <w:adjustRightInd w:val="0"/>
        <w:snapToGrid w:val="0"/>
        <w:spacing w:line="560" w:lineRule="exact"/>
        <w:ind w:firstLine="624" w:firstLineChars="200"/>
        <w:rPr>
          <w:rFonts w:hint="eastAsia" w:ascii="仿宋" w:hAnsi="仿宋" w:eastAsia="仿宋"/>
          <w:bCs/>
          <w:color w:val="auto"/>
          <w:spacing w:val="-4"/>
          <w:sz w:val="32"/>
          <w:szCs w:val="32"/>
          <w:shd w:val="clear" w:color="auto" w:fill="auto"/>
        </w:rPr>
      </w:pPr>
      <w:r>
        <w:rPr>
          <w:rFonts w:ascii="仿宋" w:hAnsi="仿宋" w:eastAsia="仿宋"/>
          <w:bCs/>
          <w:color w:val="auto"/>
          <w:spacing w:val="-4"/>
          <w:sz w:val="32"/>
          <w:szCs w:val="32"/>
          <w:shd w:val="clear" w:color="auto" w:fill="auto"/>
        </w:rPr>
        <w:t>本项目共设置一级指标</w:t>
      </w:r>
      <w:r>
        <w:rPr>
          <w:rFonts w:hint="eastAsia" w:ascii="仿宋" w:hAnsi="仿宋" w:eastAsia="仿宋"/>
          <w:bCs/>
          <w:color w:val="auto"/>
          <w:spacing w:val="-4"/>
          <w:sz w:val="32"/>
          <w:szCs w:val="32"/>
          <w:shd w:val="clear" w:color="auto" w:fill="auto"/>
          <w:lang w:val="en-US" w:eastAsia="zh-CN"/>
        </w:rPr>
        <w:t>2</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w:t>
      </w:r>
      <w:r>
        <w:rPr>
          <w:rFonts w:ascii="仿宋" w:hAnsi="仿宋" w:eastAsia="仿宋"/>
          <w:bCs/>
          <w:color w:val="auto"/>
          <w:spacing w:val="-4"/>
          <w:sz w:val="32"/>
          <w:szCs w:val="32"/>
          <w:shd w:val="clear" w:color="auto" w:fill="auto"/>
        </w:rPr>
        <w:t>二级指标</w:t>
      </w:r>
      <w:r>
        <w:rPr>
          <w:rFonts w:hint="eastAsia" w:ascii="仿宋" w:hAnsi="仿宋" w:eastAsia="仿宋"/>
          <w:bCs/>
          <w:color w:val="auto"/>
          <w:spacing w:val="-4"/>
          <w:sz w:val="32"/>
          <w:szCs w:val="32"/>
          <w:shd w:val="clear" w:color="auto" w:fill="auto"/>
          <w:lang w:val="en-US" w:eastAsia="zh-CN"/>
        </w:rPr>
        <w:t>4</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w:t>
      </w:r>
      <w:r>
        <w:rPr>
          <w:rFonts w:ascii="仿宋" w:hAnsi="仿宋" w:eastAsia="仿宋"/>
          <w:bCs/>
          <w:color w:val="auto"/>
          <w:spacing w:val="-4"/>
          <w:sz w:val="32"/>
          <w:szCs w:val="32"/>
          <w:shd w:val="clear" w:color="auto" w:fill="auto"/>
        </w:rPr>
        <w:t>三级指标</w:t>
      </w:r>
      <w:r>
        <w:rPr>
          <w:rFonts w:hint="eastAsia" w:ascii="仿宋" w:hAnsi="仿宋" w:eastAsia="仿宋"/>
          <w:bCs/>
          <w:color w:val="auto"/>
          <w:spacing w:val="-4"/>
          <w:sz w:val="32"/>
          <w:szCs w:val="32"/>
          <w:shd w:val="clear" w:color="auto" w:fill="auto"/>
          <w:lang w:val="en-US" w:eastAsia="zh-CN"/>
        </w:rPr>
        <w:t>8</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，其中</w:t>
      </w:r>
      <w:r>
        <w:rPr>
          <w:rFonts w:ascii="仿宋" w:hAnsi="仿宋" w:eastAsia="仿宋"/>
          <w:bCs/>
          <w:color w:val="auto"/>
          <w:spacing w:val="-4"/>
          <w:sz w:val="32"/>
          <w:szCs w:val="32"/>
          <w:shd w:val="clear" w:color="auto" w:fill="auto"/>
        </w:rPr>
        <w:t>已完成三级指标</w:t>
      </w:r>
      <w:r>
        <w:rPr>
          <w:rFonts w:hint="eastAsia" w:ascii="仿宋" w:hAnsi="仿宋" w:eastAsia="仿宋"/>
          <w:bCs/>
          <w:color w:val="auto"/>
          <w:spacing w:val="-4"/>
          <w:sz w:val="32"/>
          <w:szCs w:val="32"/>
          <w:shd w:val="clear" w:color="auto" w:fill="auto"/>
          <w:lang w:val="en-US" w:eastAsia="zh-CN"/>
        </w:rPr>
        <w:t>0</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，指标完成率为</w:t>
      </w:r>
      <w:r>
        <w:rPr>
          <w:rFonts w:hint="eastAsia" w:ascii="仿宋" w:hAnsi="仿宋" w:eastAsia="仿宋"/>
          <w:bCs/>
          <w:color w:val="auto"/>
          <w:spacing w:val="-4"/>
          <w:sz w:val="32"/>
          <w:szCs w:val="32"/>
          <w:shd w:val="clear" w:color="auto" w:fill="auto"/>
          <w:lang w:val="en-US" w:eastAsia="zh-CN"/>
        </w:rPr>
        <w:t>0</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4" w:firstLineChars="200"/>
        <w:rPr>
          <w:rFonts w:hint="eastAsia"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lang w:eastAsia="zh-CN"/>
        </w:rPr>
        <w:t>项目名称为专项业务工作经费，年初预算安排</w:t>
      </w:r>
      <w:r>
        <w:rPr>
          <w:rFonts w:hint="eastAsia" w:ascii="仿宋" w:hAnsi="仿宋" w:eastAsia="仿宋"/>
          <w:bCs/>
          <w:color w:val="auto"/>
          <w:spacing w:val="-4"/>
          <w:sz w:val="32"/>
          <w:szCs w:val="32"/>
          <w:shd w:val="clear" w:color="auto" w:fill="auto"/>
          <w:lang w:val="en-US" w:eastAsia="zh-CN"/>
        </w:rPr>
        <w:t>10万元，资金来源为：</w:t>
      </w:r>
      <w:r>
        <w:rPr>
          <w:rFonts w:hint="eastAsia" w:ascii="仿宋" w:hAnsi="仿宋" w:eastAsia="仿宋"/>
          <w:bCs/>
          <w:color w:val="auto"/>
          <w:spacing w:val="-4"/>
          <w:sz w:val="32"/>
          <w:szCs w:val="32"/>
          <w:shd w:val="clear" w:color="auto" w:fill="auto"/>
          <w:lang w:eastAsia="zh-CN"/>
        </w:rPr>
        <w:t>开发区本级财政资金安排，预期一部分</w:t>
      </w:r>
      <w:r>
        <w:rPr>
          <w:rFonts w:hint="eastAsia" w:ascii="仿宋" w:hAnsi="仿宋" w:eastAsia="仿宋"/>
          <w:bCs/>
          <w:color w:val="auto"/>
          <w:spacing w:val="-4"/>
          <w:sz w:val="32"/>
          <w:szCs w:val="32"/>
          <w:shd w:val="clear" w:color="auto" w:fill="auto"/>
          <w:lang w:val="en-US" w:eastAsia="zh-CN"/>
        </w:rPr>
        <w:t>中国人民银行喀什地区中心支行，用于提高国库业务水平、质量和效率；一部分用于国库开展的业务培训等。但由于中国人民银行喀什地区中心支行根据上级相关规定不能接受财政部门相关经费拨款，同时国库上年未开展任何业务培训工作等原因，该项目资金实际支出金额为0。</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spacing w:line="540" w:lineRule="exact"/>
        <w:ind w:firstLine="564" w:firstLineChars="181"/>
        <w:rPr>
          <w:rFonts w:hint="eastAsia" w:ascii="仿宋" w:hAnsi="仿宋" w:eastAsia="仿宋"/>
          <w:spacing w:val="-4"/>
          <w:sz w:val="32"/>
          <w:szCs w:val="32"/>
          <w:lang w:eastAsia="zh-CN"/>
        </w:rPr>
      </w:pPr>
      <w:r>
        <w:rPr>
          <w:rFonts w:hint="eastAsia" w:ascii="仿宋" w:hAnsi="仿宋" w:eastAsia="仿宋"/>
          <w:spacing w:val="-4"/>
          <w:sz w:val="32"/>
          <w:szCs w:val="32"/>
          <w:lang w:eastAsia="zh-CN"/>
        </w:rPr>
        <w:t>项目绩效目标未完成。未完成原因是</w:t>
      </w:r>
      <w:r>
        <w:rPr>
          <w:rStyle w:val="20"/>
          <w:rFonts w:hint="eastAsia" w:ascii="仿宋" w:hAnsi="仿宋" w:eastAsia="仿宋"/>
          <w:b w:val="0"/>
          <w:spacing w:val="-4"/>
          <w:sz w:val="32"/>
          <w:szCs w:val="32"/>
          <w:lang w:val="en-US" w:eastAsia="zh-CN"/>
        </w:rPr>
        <w:t>中国人民银行喀什地区中心支行根据上级相关规定不能接受财政部门相关经费拨款，同时国库上年未开展任何业务培训工作等原因，该项目资金实际支出金额为0。</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val="en-US" w:eastAsia="zh-CN"/>
        </w:rPr>
        <w:t>无</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（二）主要经验及做法、存在问题和建议</w:t>
      </w:r>
    </w:p>
    <w:p>
      <w:pPr>
        <w:pStyle w:val="16"/>
        <w:keepNext w:val="0"/>
        <w:keepLines w:val="0"/>
        <w:widowControl/>
        <w:suppressLineNumbers w:val="0"/>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1、主要经验及做法。无</w:t>
      </w:r>
    </w:p>
    <w:p>
      <w:pPr>
        <w:adjustRightInd w:val="0"/>
        <w:snapToGrid w:val="0"/>
        <w:spacing w:line="560" w:lineRule="exact"/>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2、存在的问题。无</w:t>
      </w:r>
    </w:p>
    <w:p>
      <w:pPr>
        <w:adjustRightInd w:val="0"/>
        <w:snapToGrid w:val="0"/>
        <w:spacing w:line="560" w:lineRule="exact"/>
        <w:ind w:firstLine="624" w:firstLineChars="200"/>
        <w:outlineLvl w:val="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3、建议。无</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（三）其他</w:t>
      </w:r>
    </w:p>
    <w:p>
      <w:pPr>
        <w:adjustRightInd w:val="0"/>
        <w:snapToGrid w:val="0"/>
        <w:spacing w:line="560" w:lineRule="exact"/>
        <w:ind w:firstLine="624" w:firstLineChars="200"/>
        <w:rPr>
          <w:rFonts w:ascii="仿宋" w:hAnsi="仿宋" w:eastAsia="仿宋"/>
          <w:color w:val="auto"/>
          <w:spacing w:val="-4"/>
          <w:sz w:val="32"/>
          <w:szCs w:val="32"/>
          <w:shd w:val="clear" w:color="auto" w:fill="auto"/>
        </w:rPr>
      </w:pPr>
      <w:r>
        <w:rPr>
          <w:rFonts w:hint="eastAsia" w:ascii="仿宋" w:hAnsi="仿宋" w:eastAsia="仿宋"/>
          <w:color w:val="auto"/>
          <w:spacing w:val="-4"/>
          <w:sz w:val="32"/>
          <w:szCs w:val="32"/>
          <w:shd w:val="clear" w:color="auto" w:fill="auto"/>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六、项目评价工作情况</w:t>
      </w:r>
    </w:p>
    <w:p>
      <w:pPr>
        <w:adjustRightInd w:val="0"/>
        <w:snapToGrid w:val="0"/>
        <w:spacing w:line="560" w:lineRule="exact"/>
        <w:ind w:firstLine="624" w:firstLineChars="200"/>
        <w:rPr>
          <w:rFonts w:hint="eastAsia" w:ascii="仿宋" w:hAnsi="仿宋" w:eastAsia="仿宋"/>
          <w:color w:val="auto"/>
          <w:spacing w:val="-4"/>
          <w:sz w:val="32"/>
          <w:szCs w:val="32"/>
          <w:shd w:val="clear" w:color="auto" w:fill="auto"/>
          <w:lang w:val="en-US" w:eastAsia="zh-CN"/>
        </w:rPr>
      </w:pPr>
      <w:r>
        <w:rPr>
          <w:rFonts w:hint="eastAsia" w:ascii="仿宋" w:hAnsi="仿宋" w:eastAsia="仿宋"/>
          <w:color w:val="auto"/>
          <w:spacing w:val="-4"/>
          <w:sz w:val="32"/>
          <w:szCs w:val="32"/>
          <w:shd w:val="clear" w:color="auto" w:fill="auto"/>
          <w:lang w:val="en-US" w:eastAsia="zh-CN"/>
        </w:rPr>
        <w:t>该项目未按照既定目标完成。2019年预算建议不再予以安排。</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shd w:val="clear" w:color="auto" w:fill="auto"/>
        </w:rPr>
      </w:pPr>
      <w:r>
        <w:rPr>
          <w:rStyle w:val="20"/>
          <w:rFonts w:hint="eastAsia" w:ascii="黑体" w:hAnsi="黑体" w:eastAsia="黑体"/>
          <w:b w:val="0"/>
          <w:color w:val="auto"/>
          <w:spacing w:val="-4"/>
          <w:sz w:val="32"/>
          <w:szCs w:val="32"/>
          <w:shd w:val="clear" w:color="auto" w:fill="auto"/>
        </w:rPr>
        <w:t>七、附表</w:t>
      </w:r>
      <w:bookmarkStart w:id="0" w:name="_GoBack"/>
      <w:bookmarkEnd w:id="0"/>
    </w:p>
    <w:p>
      <w:pPr>
        <w:adjustRightInd w:val="0"/>
        <w:snapToGrid w:val="0"/>
        <w:spacing w:line="560" w:lineRule="exact"/>
        <w:ind w:firstLine="624" w:firstLineChars="200"/>
        <w:rPr>
          <w:rStyle w:val="20"/>
          <w:rFonts w:ascii="仿宋" w:hAnsi="仿宋" w:eastAsia="仿宋"/>
          <w:b w:val="0"/>
          <w:color w:val="auto"/>
          <w:spacing w:val="-4"/>
          <w:sz w:val="32"/>
          <w:szCs w:val="32"/>
          <w:shd w:val="clear" w:color="auto" w:fill="auto"/>
        </w:rPr>
      </w:pPr>
      <w:r>
        <w:rPr>
          <w:rStyle w:val="20"/>
          <w:rFonts w:hint="eastAsia" w:ascii="仿宋" w:hAnsi="仿宋" w:eastAsia="仿宋"/>
          <w:b w:val="0"/>
          <w:color w:val="auto"/>
          <w:spacing w:val="-4"/>
          <w:sz w:val="32"/>
          <w:szCs w:val="32"/>
          <w:shd w:val="clear" w:color="auto" w:fill="auto"/>
        </w:rPr>
        <w:t>《项目支出绩效目标自评表》</w:t>
      </w:r>
    </w:p>
    <w:p>
      <w:pPr>
        <w:adjustRightInd w:val="0"/>
        <w:snapToGrid w:val="0"/>
        <w:spacing w:line="560" w:lineRule="exact"/>
        <w:ind w:firstLine="627" w:firstLineChars="200"/>
        <w:rPr>
          <w:rStyle w:val="20"/>
          <w:rFonts w:ascii="仿宋" w:hAnsi="仿宋" w:eastAsia="仿宋"/>
          <w:color w:val="auto"/>
          <w:spacing w:val="-4"/>
          <w:sz w:val="32"/>
          <w:szCs w:val="32"/>
          <w:shd w:val="clear" w:color="auto" w:fill="auto"/>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420AE5"/>
    <w:rsid w:val="0466101C"/>
    <w:rsid w:val="069A29D8"/>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AEA60D9"/>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semiHidden/>
    <w:unhideWhenUsed/>
    <w:qFormat/>
    <w:uiPriority w:val="99"/>
    <w:pPr>
      <w:spacing w:before="0" w:beforeAutospacing="0" w:after="0" w:afterAutospacing="0"/>
      <w:ind w:left="0" w:right="0"/>
      <w:jc w:val="left"/>
    </w:pPr>
    <w:rPr>
      <w:kern w:val="0"/>
      <w:sz w:val="24"/>
      <w:lang w:val="en-US" w:eastAsia="zh-CN" w:bidi="ar"/>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Char"/>
    <w:basedOn w:val="19"/>
    <w:link w:val="2"/>
    <w:qFormat/>
    <w:uiPriority w:val="9"/>
    <w:rPr>
      <w:rFonts w:asciiTheme="majorHAnsi" w:hAnsiTheme="majorHAnsi" w:eastAsiaTheme="majorEastAsia"/>
      <w:b/>
      <w:bCs/>
      <w:kern w:val="32"/>
      <w:sz w:val="32"/>
      <w:szCs w:val="32"/>
    </w:rPr>
  </w:style>
  <w:style w:type="character" w:customStyle="1" w:styleId="23">
    <w:name w:val="标题 2 Char"/>
    <w:basedOn w:val="19"/>
    <w:link w:val="3"/>
    <w:semiHidden/>
    <w:qFormat/>
    <w:uiPriority w:val="9"/>
    <w:rPr>
      <w:rFonts w:asciiTheme="majorHAnsi" w:hAnsiTheme="majorHAnsi" w:eastAsiaTheme="majorEastAsia"/>
      <w:b/>
      <w:bCs/>
      <w:i/>
      <w:iCs/>
      <w:sz w:val="28"/>
      <w:szCs w:val="28"/>
    </w:rPr>
  </w:style>
  <w:style w:type="character" w:customStyle="1" w:styleId="24">
    <w:name w:val="标题 3 Char"/>
    <w:basedOn w:val="19"/>
    <w:link w:val="4"/>
    <w:semiHidden/>
    <w:qFormat/>
    <w:uiPriority w:val="9"/>
    <w:rPr>
      <w:rFonts w:asciiTheme="majorHAnsi" w:hAnsiTheme="majorHAnsi" w:eastAsiaTheme="majorEastAsia"/>
      <w:b/>
      <w:bCs/>
      <w:sz w:val="26"/>
      <w:szCs w:val="26"/>
    </w:rPr>
  </w:style>
  <w:style w:type="character" w:customStyle="1" w:styleId="25">
    <w:name w:val="标题 4 Char"/>
    <w:basedOn w:val="19"/>
    <w:link w:val="5"/>
    <w:semiHidden/>
    <w:qFormat/>
    <w:uiPriority w:val="9"/>
    <w:rPr>
      <w:b/>
      <w:bCs/>
      <w:sz w:val="28"/>
      <w:szCs w:val="28"/>
    </w:rPr>
  </w:style>
  <w:style w:type="character" w:customStyle="1" w:styleId="26">
    <w:name w:val="标题 5 Char"/>
    <w:basedOn w:val="19"/>
    <w:link w:val="6"/>
    <w:semiHidden/>
    <w:uiPriority w:val="9"/>
    <w:rPr>
      <w:b/>
      <w:bCs/>
      <w:i/>
      <w:iCs/>
      <w:sz w:val="26"/>
      <w:szCs w:val="26"/>
    </w:rPr>
  </w:style>
  <w:style w:type="character" w:customStyle="1" w:styleId="27">
    <w:name w:val="标题 6 Char"/>
    <w:basedOn w:val="19"/>
    <w:link w:val="7"/>
    <w:semiHidden/>
    <w:qFormat/>
    <w:uiPriority w:val="9"/>
    <w:rPr>
      <w:b/>
      <w:bCs/>
    </w:rPr>
  </w:style>
  <w:style w:type="character" w:customStyle="1" w:styleId="28">
    <w:name w:val="标题 7 Char"/>
    <w:basedOn w:val="19"/>
    <w:link w:val="8"/>
    <w:semiHidden/>
    <w:qFormat/>
    <w:uiPriority w:val="9"/>
    <w:rPr>
      <w:sz w:val="24"/>
      <w:szCs w:val="24"/>
    </w:rPr>
  </w:style>
  <w:style w:type="character" w:customStyle="1" w:styleId="29">
    <w:name w:val="标题 8 Char"/>
    <w:basedOn w:val="19"/>
    <w:link w:val="9"/>
    <w:semiHidden/>
    <w:qFormat/>
    <w:uiPriority w:val="9"/>
    <w:rPr>
      <w:i/>
      <w:iCs/>
      <w:sz w:val="24"/>
      <w:szCs w:val="24"/>
    </w:rPr>
  </w:style>
  <w:style w:type="character" w:customStyle="1" w:styleId="30">
    <w:name w:val="标题 9 Char"/>
    <w:basedOn w:val="19"/>
    <w:link w:val="10"/>
    <w:semiHidden/>
    <w:qFormat/>
    <w:uiPriority w:val="9"/>
    <w:rPr>
      <w:rFonts w:asciiTheme="majorHAnsi" w:hAnsiTheme="majorHAnsi" w:eastAsiaTheme="majorEastAsia"/>
    </w:rPr>
  </w:style>
  <w:style w:type="character" w:customStyle="1" w:styleId="31">
    <w:name w:val="标题 Char"/>
    <w:basedOn w:val="19"/>
    <w:link w:val="17"/>
    <w:qFormat/>
    <w:uiPriority w:val="10"/>
    <w:rPr>
      <w:rFonts w:asciiTheme="majorHAnsi" w:hAnsiTheme="majorHAnsi" w:eastAsiaTheme="majorEastAsia"/>
      <w:b/>
      <w:bCs/>
      <w:kern w:val="28"/>
      <w:sz w:val="32"/>
      <w:szCs w:val="32"/>
    </w:rPr>
  </w:style>
  <w:style w:type="character" w:customStyle="1" w:styleId="32">
    <w:name w:val="副标题 Char"/>
    <w:basedOn w:val="19"/>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9"/>
    <w:link w:val="37"/>
    <w:qFormat/>
    <w:uiPriority w:val="30"/>
    <w:rPr>
      <w:b/>
      <w:i/>
      <w:sz w:val="24"/>
    </w:rPr>
  </w:style>
  <w:style w:type="character" w:customStyle="1" w:styleId="39">
    <w:name w:val="Subtle Emphasis"/>
    <w:qFormat/>
    <w:uiPriority w:val="19"/>
    <w:rPr>
      <w:i/>
      <w:color w:val="595959" w:themeColor="text1" w:themeTint="A5"/>
    </w:rPr>
  </w:style>
  <w:style w:type="character" w:customStyle="1" w:styleId="40">
    <w:name w:val="Intense Emphasis"/>
    <w:basedOn w:val="19"/>
    <w:qFormat/>
    <w:uiPriority w:val="21"/>
    <w:rPr>
      <w:b/>
      <w:i/>
      <w:sz w:val="24"/>
      <w:szCs w:val="24"/>
      <w:u w:val="single"/>
    </w:rPr>
  </w:style>
  <w:style w:type="character" w:customStyle="1" w:styleId="41">
    <w:name w:val="Subtle Reference"/>
    <w:basedOn w:val="19"/>
    <w:qFormat/>
    <w:uiPriority w:val="31"/>
    <w:rPr>
      <w:sz w:val="24"/>
      <w:szCs w:val="24"/>
      <w:u w:val="single"/>
    </w:rPr>
  </w:style>
  <w:style w:type="character" w:customStyle="1" w:styleId="42">
    <w:name w:val="Intense Reference"/>
    <w:basedOn w:val="19"/>
    <w:qFormat/>
    <w:uiPriority w:val="32"/>
    <w:rPr>
      <w:b/>
      <w:sz w:val="24"/>
      <w:u w:val="single"/>
    </w:rPr>
  </w:style>
  <w:style w:type="character" w:customStyle="1" w:styleId="43">
    <w:name w:val="Book Title"/>
    <w:basedOn w:val="19"/>
    <w:qFormat/>
    <w:uiPriority w:val="33"/>
    <w:rPr>
      <w:rFonts w:asciiTheme="majorHAnsi" w:hAnsiTheme="majorHAnsi" w:eastAsiaTheme="majorEastAsia"/>
      <w:b/>
      <w:i/>
      <w:sz w:val="24"/>
      <w:szCs w:val="24"/>
    </w:rPr>
  </w:style>
  <w:style w:type="paragraph" w:customStyle="1" w:styleId="44">
    <w:name w:val="TOC Heading"/>
    <w:basedOn w:val="2"/>
    <w:next w:val="1"/>
    <w:semiHidden/>
    <w:unhideWhenUsed/>
    <w:qFormat/>
    <w:uiPriority w:val="39"/>
    <w:pPr>
      <w:outlineLvl w:val="9"/>
    </w:pPr>
    <w:rPr>
      <w:lang w:eastAsia="en-US" w:bidi="en-US"/>
    </w:rPr>
  </w:style>
  <w:style w:type="character" w:customStyle="1" w:styleId="45">
    <w:name w:val="页眉 Char"/>
    <w:basedOn w:val="19"/>
    <w:link w:val="14"/>
    <w:qFormat/>
    <w:uiPriority w:val="99"/>
    <w:rPr>
      <w:rFonts w:ascii="Calibri" w:hAnsi="Calibri" w:eastAsia="宋体"/>
      <w:kern w:val="2"/>
      <w:sz w:val="18"/>
      <w:szCs w:val="18"/>
    </w:rPr>
  </w:style>
  <w:style w:type="character" w:customStyle="1" w:styleId="46">
    <w:name w:val="页脚 Char"/>
    <w:basedOn w:val="19"/>
    <w:link w:val="13"/>
    <w:uiPriority w:val="99"/>
    <w:rPr>
      <w:rFonts w:ascii="Calibri" w:hAnsi="Calibri" w:eastAsia="宋体"/>
      <w:kern w:val="2"/>
      <w:sz w:val="18"/>
      <w:szCs w:val="18"/>
    </w:rPr>
  </w:style>
  <w:style w:type="character" w:customStyle="1" w:styleId="47">
    <w:name w:val="文档结构图 Char"/>
    <w:basedOn w:val="19"/>
    <w:link w:val="11"/>
    <w:semiHidden/>
    <w:uiPriority w:val="99"/>
    <w:rPr>
      <w:rFonts w:ascii="宋体" w:hAnsi="Times New Roman" w:eastAsia="宋体"/>
      <w:kern w:val="2"/>
      <w:sz w:val="18"/>
      <w:szCs w:val="18"/>
    </w:rPr>
  </w:style>
  <w:style w:type="character" w:customStyle="1" w:styleId="48">
    <w:name w:val="批注框文本 Char"/>
    <w:basedOn w:val="19"/>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angelia</cp:lastModifiedBy>
  <cp:lastPrinted>2018-12-17T10:15:00Z</cp:lastPrinted>
  <dcterms:modified xsi:type="dcterms:W3CDTF">2019-10-20T07:12:23Z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