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2018年度新疆喀什经济开发区规划土地建设环保局部门决算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负责组织编制并实施开发区总体规划及各层次规划、计划；负责国土资源、建设及建设项目规划、房地产、保障性和政策性住房管理；负责物业管理的指导和监督；负责市政公用设施的运营、维护等管理；负责生态环境保护及污染防治管理；负责查处规划、房产、建设、环保等违法行为等职能。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新疆喀什经济开发区规划土地建设环保局</w:t>
      </w:r>
      <w:r>
        <w:rPr>
          <w:rFonts w:hint="eastAsia" w:ascii="仿宋_GB2312" w:eastAsia="仿宋_GB2312"/>
          <w:sz w:val="32"/>
          <w:szCs w:val="32"/>
        </w:rPr>
        <w:t>部门决算包括：</w:t>
      </w:r>
      <w:r>
        <w:rPr>
          <w:rFonts w:ascii="仿宋_GB2312" w:eastAsia="仿宋_GB2312"/>
          <w:sz w:val="32"/>
          <w:szCs w:val="32"/>
        </w:rPr>
        <w:t>新疆喀什经济开发区规划土地建设环保局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新疆喀什经济开发区规划土地建设环保局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spacing w:line="500" w:lineRule="exact"/>
              <w:ind w:firstLine="640" w:firstLineChars="200"/>
              <w:jc w:val="left"/>
            </w:pPr>
            <w:r>
              <w:rPr>
                <w:rFonts w:eastAsia="Times New Roman"/>
                <w:color w:val="000000"/>
                <w:position w:val="-1"/>
                <w:sz w:val="32"/>
              </w:rPr>
              <w:t>1</w:t>
            </w:r>
          </w:p>
        </w:tc>
        <w:tc>
          <w:tcPr>
            <w:tcW w:w="3870" w:type="dxa"/>
          </w:tcPr>
          <w:p>
            <w:pPr>
              <w:spacing w:line="500" w:lineRule="exact"/>
              <w:ind w:firstLine="640" w:firstLineChars="200"/>
              <w:jc w:val="left"/>
            </w:pPr>
            <w:r>
              <w:rPr>
                <w:rFonts w:eastAsia="Times New Roman"/>
                <w:color w:val="000000"/>
                <w:position w:val="-1"/>
                <w:sz w:val="32"/>
              </w:rPr>
              <w:t>新疆喀什经济开发区规划土地建设环保局</w:t>
            </w:r>
          </w:p>
        </w:tc>
        <w:tc>
          <w:tcPr>
            <w:tcW w:w="2538" w:type="dxa"/>
            <w:vAlign w:val="center"/>
          </w:tcPr>
          <w:p>
            <w:pPr>
              <w:spacing w:line="500" w:lineRule="exact"/>
              <w:ind w:firstLine="420" w:firstLineChars="200"/>
              <w:jc w:val="left"/>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104,544.6</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，与上年相比增加0万元，增长0%，主要原因是：</w:t>
      </w:r>
      <w:r>
        <w:rPr>
          <w:rFonts w:hint="eastAsia" w:ascii="仿宋_GB2312" w:eastAsia="仿宋_GB2312"/>
          <w:color w:val="000000" w:themeColor="text1"/>
          <w:sz w:val="32"/>
          <w:szCs w:val="32"/>
        </w:rPr>
        <w:t>新增单位，无上年对比数据；</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57,446.42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w:t>
      </w:r>
      <w:r>
        <w:rPr>
          <w:rFonts w:hint="eastAsia" w:ascii="仿宋_GB2312" w:eastAsia="仿宋_GB2312"/>
          <w:color w:val="000000" w:themeColor="text1"/>
          <w:sz w:val="32"/>
          <w:szCs w:val="32"/>
        </w:rPr>
        <w:t>新增单位，无上年对比数据；</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47,136.95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w:t>
      </w:r>
      <w:r>
        <w:rPr>
          <w:rFonts w:ascii="仿宋_GB2312" w:eastAsia="仿宋_GB2312"/>
          <w:color w:val="000000" w:themeColor="text1"/>
          <w:sz w:val="32"/>
          <w:szCs w:val="32"/>
        </w:rPr>
        <w:t>新增单位，无上年对比数据。</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104,544.6</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103,445.64</w:t>
      </w:r>
      <w:r>
        <w:rPr>
          <w:rFonts w:hint="eastAsia" w:ascii="仿宋_GB2312" w:eastAsia="仿宋_GB2312"/>
          <w:color w:val="000000" w:themeColor="text1"/>
          <w:sz w:val="32"/>
          <w:szCs w:val="32"/>
        </w:rPr>
        <w:t>万元，占</w:t>
      </w:r>
      <w:r>
        <w:rPr>
          <w:rFonts w:hint="eastAsia" w:ascii="仿宋_GB2312" w:eastAsia="仿宋_GB2312"/>
          <w:sz w:val="32"/>
          <w:szCs w:val="32"/>
        </w:rPr>
        <w:t>98.95%</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1,098.96</w:t>
      </w:r>
      <w:r>
        <w:rPr>
          <w:rFonts w:hint="eastAsia" w:ascii="仿宋_GB2312" w:eastAsia="仿宋_GB2312"/>
          <w:color w:val="000000" w:themeColor="text1"/>
          <w:sz w:val="32"/>
          <w:szCs w:val="32"/>
        </w:rPr>
        <w:t>万元，占</w:t>
      </w:r>
      <w:r>
        <w:rPr>
          <w:rFonts w:hint="eastAsia" w:ascii="仿宋_GB2312" w:eastAsia="仿宋_GB2312"/>
          <w:sz w:val="32"/>
          <w:szCs w:val="32"/>
        </w:rPr>
        <w:t>1.05%</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况：本年收入年初预算数128,279.15万元</w:t>
      </w:r>
      <w:r>
        <w:rPr>
          <w:rFonts w:hint="eastAsia" w:ascii="仿宋_GB2312" w:eastAsia="仿宋_GB2312"/>
          <w:sz w:val="32"/>
          <w:szCs w:val="32"/>
        </w:rPr>
        <w:t>，决算数104,544.6万元</w:t>
      </w:r>
      <w:r>
        <w:rPr>
          <w:rFonts w:ascii="仿宋_GB2312" w:eastAsia="仿宋_GB2312"/>
          <w:sz w:val="32"/>
          <w:szCs w:val="32"/>
        </w:rPr>
        <w:t>，预决算差异率-18.5%，差异主要原因是:部分项目未执行或未全部执行。</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57,446.42</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186.75</w:t>
      </w:r>
      <w:r>
        <w:rPr>
          <w:rFonts w:hint="eastAsia" w:ascii="仿宋_GB2312" w:eastAsia="仿宋_GB2312"/>
          <w:color w:val="000000" w:themeColor="text1"/>
          <w:sz w:val="32"/>
          <w:szCs w:val="32"/>
        </w:rPr>
        <w:t>万元，占</w:t>
      </w:r>
      <w:r>
        <w:rPr>
          <w:rFonts w:hint="eastAsia" w:ascii="仿宋_GB2312" w:eastAsia="仿宋_GB2312"/>
          <w:sz w:val="32"/>
          <w:szCs w:val="32"/>
        </w:rPr>
        <w:t>0.33%</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57,259.67</w:t>
      </w:r>
      <w:r>
        <w:rPr>
          <w:rFonts w:hint="eastAsia" w:ascii="仿宋_GB2312" w:eastAsia="仿宋_GB2312"/>
          <w:color w:val="000000" w:themeColor="text1"/>
          <w:sz w:val="32"/>
          <w:szCs w:val="32"/>
        </w:rPr>
        <w:t>万元，占</w:t>
      </w:r>
      <w:r>
        <w:rPr>
          <w:rFonts w:hint="eastAsia" w:ascii="仿宋_GB2312" w:eastAsia="仿宋_GB2312"/>
          <w:sz w:val="32"/>
          <w:szCs w:val="32"/>
        </w:rPr>
        <w:t>99.67%</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与年初预算数相比情况：本年支出年初预算数128,319.15万元，</w:t>
      </w:r>
      <w:r>
        <w:rPr>
          <w:rFonts w:hint="eastAsia" w:ascii="仿宋_GB2312" w:eastAsia="仿宋_GB2312"/>
          <w:sz w:val="32"/>
          <w:szCs w:val="32"/>
        </w:rPr>
        <w:t>决算数57,446.42万元</w:t>
      </w:r>
      <w:r>
        <w:rPr>
          <w:rFonts w:ascii="仿宋_GB2312" w:eastAsia="仿宋_GB2312"/>
          <w:sz w:val="32"/>
          <w:szCs w:val="32"/>
        </w:rPr>
        <w:t>，预决算差异率-55.23%，差异主要原因是:部分项目未执行或未全部执行。</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103,445.64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，与上年相比增加0万元，增长0%，主要原因是：新增单位，无上年对比数据。</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56,404.8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w:t>
      </w:r>
      <w:r>
        <w:rPr>
          <w:rFonts w:ascii="仿宋_GB2312" w:eastAsia="仿宋_GB2312"/>
          <w:sz w:val="32"/>
          <w:szCs w:val="32"/>
        </w:rPr>
        <w:t>新增单位，无上年对比数据。</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186.75</w:t>
      </w:r>
      <w:r>
        <w:rPr>
          <w:rFonts w:hint="eastAsia" w:ascii="仿宋_GB2312" w:eastAsia="仿宋_GB2312"/>
          <w:color w:val="000000" w:themeColor="text1"/>
          <w:sz w:val="32"/>
          <w:szCs w:val="32"/>
        </w:rPr>
        <w:t>万元，项目支出</w:t>
      </w:r>
      <w:r>
        <w:rPr>
          <w:rFonts w:hint="eastAsia" w:ascii="仿宋_GB2312" w:eastAsia="仿宋_GB2312"/>
          <w:sz w:val="32"/>
          <w:szCs w:val="32"/>
        </w:rPr>
        <w:t>56,218.05</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47,079.61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，与上年相比增加0万元，增长0%，主要原因是：新增单位，无上年对比数据。</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128,279.15</w:t>
      </w:r>
      <w:r>
        <w:rPr>
          <w:rFonts w:hint="eastAsia" w:ascii="仿宋_GB2312" w:eastAsia="仿宋_GB2312"/>
          <w:color w:val="000000" w:themeColor="text1"/>
          <w:sz w:val="32"/>
          <w:szCs w:val="32"/>
        </w:rPr>
        <w:t>万元，决算数</w:t>
      </w:r>
      <w:r>
        <w:rPr>
          <w:rFonts w:hint="eastAsia" w:ascii="仿宋_GB2312" w:eastAsia="仿宋_GB2312"/>
          <w:sz w:val="32"/>
          <w:szCs w:val="32"/>
        </w:rPr>
        <w:t>103,445.64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，预决算差异率-19.36%，差异主要原因是:部分项目未执行或未全部执行。</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128,279.15</w:t>
      </w:r>
      <w:r>
        <w:rPr>
          <w:rFonts w:hint="eastAsia" w:ascii="仿宋_GB2312" w:eastAsia="仿宋_GB2312"/>
          <w:color w:val="000000" w:themeColor="text1"/>
          <w:sz w:val="32"/>
          <w:szCs w:val="32"/>
        </w:rPr>
        <w:t>万元，决算数</w:t>
      </w:r>
      <w:r>
        <w:rPr>
          <w:rFonts w:hint="eastAsia" w:ascii="仿宋_GB2312" w:eastAsia="仿宋_GB2312"/>
          <w:sz w:val="32"/>
          <w:szCs w:val="32"/>
        </w:rPr>
        <w:t>56,404.8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，预决算差异率-56.03%，差异主要原因是:部分项目未执行或未全部执行。</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102,625.64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，与上年相比增加0万元，增长0%，主要原因是：新增单位，无上年对比数据。</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56,404.8</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，与上年相比增加0万元，增长0%，主要原因是：新增单位，无上年对比数据。</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住房保障支出12,446.59万元,节能环保支出0.83万元,一般公共服务支出38.77万元,城乡社区支出43,422.33万元,教育支出480.62万元,其他支出0.72万元,社会保障和就业支出14.95万元。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工资福利支出171.06万元,商品和服务支出5,440.2万元,资本性支出（基本建设）50,793.54万元。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128,239.15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102,625.64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，预决算差异率-19.97%，差异主要原因是:部分项目未执行或未全部执行。</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128,239.15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56,404.8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，预决算差异率-56.02%，差异主要原因是:部分项目未执行或未全部执行。</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820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，与上年相比增加0万元，增长0%，主要原因是：新增单位，无上年对比数据。</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，与上年相比增加0万元，增长0%，主要原因是：无政府性基金支出。</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与年初预算数相比情况：政府性基金预算财政拨款收入年初预算数40万元，决算数</w:t>
      </w:r>
      <w:r>
        <w:rPr>
          <w:rFonts w:ascii="仿宋_GB2312" w:eastAsia="仿宋_GB2312"/>
          <w:color w:val="000000" w:themeColor="text1"/>
          <w:sz w:val="32"/>
          <w:szCs w:val="32"/>
        </w:rPr>
        <w:t>820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，预决算差异率1950%，差异主要原因是:年中根据需要追加长安实验区配套设施建设资金780万元。</w:t>
      </w:r>
      <w:bookmarkEnd w:id="49"/>
      <w:bookmarkEnd w:id="50"/>
      <w:bookmarkStart w:id="51" w:name="OLE_LINK73"/>
      <w:r>
        <w:rPr>
          <w:rFonts w:hint="eastAsia" w:ascii="仿宋_GB2312" w:eastAsia="仿宋_GB2312"/>
          <w:color w:val="000000" w:themeColor="text1"/>
          <w:sz w:val="32"/>
          <w:szCs w:val="32"/>
        </w:rPr>
        <w:t>政府性基金预算财政拨款支出年初预算数40万元，决算数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，预决算差异率-100%，差异主要原因是:追加的长安实验区配套设施建设资金当年未安排支出，结转下年安排支出。</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47,136.95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47,079.61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4.61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，与上年相比增加0万元，增长0%，主要原因是：新增单位，无上年对比数据。</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0%，与上年相比增加0万元，增长0%，主要原因是：无变化；</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4.54</w:t>
      </w:r>
      <w:r>
        <w:rPr>
          <w:rFonts w:hint="eastAsia" w:ascii="仿宋_GB2312" w:eastAsia="仿宋_GB2312"/>
          <w:color w:val="000000" w:themeColor="text1"/>
          <w:sz w:val="32"/>
          <w:szCs w:val="32"/>
        </w:rPr>
        <w:t>万元，占</w:t>
      </w:r>
      <w:r>
        <w:rPr>
          <w:rFonts w:hint="eastAsia" w:ascii="仿宋_GB2312" w:eastAsia="仿宋_GB2312"/>
          <w:sz w:val="32"/>
          <w:szCs w:val="32"/>
        </w:rPr>
        <w:t>98.48%，与上年相比增加0万元，增长0%，主要原因是：新增单位，无上年对比数据；</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0.07</w:t>
      </w:r>
      <w:r>
        <w:rPr>
          <w:rFonts w:hint="eastAsia" w:ascii="仿宋_GB2312" w:eastAsia="仿宋_GB2312"/>
          <w:color w:val="000000" w:themeColor="text1"/>
          <w:sz w:val="32"/>
          <w:szCs w:val="32"/>
        </w:rPr>
        <w:t>万元，占</w:t>
      </w:r>
      <w:r>
        <w:rPr>
          <w:rFonts w:hint="eastAsia" w:ascii="仿宋_GB2312" w:eastAsia="仿宋_GB2312"/>
          <w:sz w:val="32"/>
          <w:szCs w:val="32"/>
        </w:rPr>
        <w:t>1.52%，与上年相比增加0万元，增长0%，主要原因是：新增单位，无上年对比数据。</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新疆喀什经济开发区规划土地建设环保局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无此项开支。</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4.54</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0"/>
      <w:bookmarkStart w:id="76"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4.54</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车辆保养维修和加油费</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0.07</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0.07</w:t>
      </w:r>
      <w:r>
        <w:rPr>
          <w:rFonts w:hint="eastAsia" w:ascii="仿宋_GB2312" w:eastAsia="仿宋_GB2312"/>
          <w:color w:val="000000" w:themeColor="text1"/>
          <w:sz w:val="32"/>
          <w:szCs w:val="32"/>
        </w:rPr>
        <w:t>万元，主要是</w:t>
      </w:r>
      <w:r>
        <w:rPr>
          <w:rFonts w:hint="eastAsia" w:ascii="仿宋_GB2312" w:eastAsia="仿宋_GB2312"/>
          <w:sz w:val="32"/>
          <w:szCs w:val="32"/>
        </w:rPr>
        <w:t>接待上级及相关部门来访</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新疆喀什经济开发区规划土地建设环保局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2</w:t>
      </w:r>
      <w:r>
        <w:rPr>
          <w:rFonts w:hint="eastAsia" w:ascii="仿宋_GB2312" w:eastAsia="仿宋_GB2312"/>
          <w:color w:val="000000" w:themeColor="text1"/>
          <w:sz w:val="32"/>
          <w:szCs w:val="32"/>
        </w:rPr>
        <w:t>批次，</w:t>
      </w:r>
      <w:r>
        <w:rPr>
          <w:rFonts w:hint="eastAsia" w:ascii="仿宋_GB2312" w:eastAsia="仿宋_GB2312"/>
          <w:sz w:val="32"/>
          <w:szCs w:val="32"/>
        </w:rPr>
        <w:t>9</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11.18</w:t>
      </w:r>
      <w:r>
        <w:rPr>
          <w:rFonts w:hint="eastAsia" w:ascii="仿宋_GB2312" w:eastAsia="仿宋_GB2312"/>
          <w:color w:val="000000" w:themeColor="text1"/>
          <w:sz w:val="32"/>
          <w:szCs w:val="32"/>
        </w:rPr>
        <w:t>万元，决算数4.61万元</w:t>
      </w:r>
      <w:r>
        <w:rPr>
          <w:rFonts w:ascii="仿宋_GB2312" w:eastAsia="仿宋_GB2312"/>
          <w:color w:val="000000" w:themeColor="text1"/>
          <w:sz w:val="32"/>
          <w:szCs w:val="32"/>
        </w:rPr>
        <w:t>，预决算差异率-58.77%，差异主要原因是:加大三公经费支出的控制力度。</w:t>
      </w:r>
      <w:bookmarkEnd w:id="80"/>
      <w:bookmarkStart w:id="81" w:name="OLE_LINK86"/>
      <w:bookmarkStart w:id="82"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，预决算差异率0%，差异主要原因是:无差异；</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10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4.54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，预决算差异率-54.6%，差异主要原因是:加大三公经费支出的控制力度；</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1.18</w:t>
      </w:r>
      <w:r>
        <w:rPr>
          <w:rFonts w:hint="eastAsia" w:ascii="仿宋_GB2312" w:eastAsia="仿宋_GB2312"/>
          <w:color w:val="000000" w:themeColor="text1"/>
          <w:sz w:val="32"/>
          <w:szCs w:val="32"/>
        </w:rPr>
        <w:t>万元，决算数0.07万元</w:t>
      </w:r>
      <w:r>
        <w:rPr>
          <w:rFonts w:ascii="仿宋_GB2312" w:eastAsia="仿宋_GB2312"/>
          <w:color w:val="000000" w:themeColor="text1"/>
          <w:sz w:val="32"/>
          <w:szCs w:val="32"/>
        </w:rPr>
        <w:t>，预决算差异率-94.07%，差异主要原因是:</w:t>
      </w:r>
      <w:bookmarkEnd w:id="86"/>
      <w:r>
        <w:rPr>
          <w:rFonts w:ascii="仿宋_GB2312" w:eastAsia="仿宋_GB2312"/>
          <w:color w:val="000000" w:themeColor="text1"/>
          <w:sz w:val="32"/>
          <w:szCs w:val="32"/>
        </w:rPr>
        <w:t>加大三公经费支出的控制力度。</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2018年度新疆喀什经济开发区规划土地建设环保局机关运行经费支出15.7万元，与上年相比增加0万元，增长0%，主要原因是：新增单位，无上年对比数据。</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155.68</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155.68</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无其他用车；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单位自开预算绩效管理和绩效目标工作以来，我单位领导高度重视此项工作，并给予了大力支持，本单位在一些制度建设方面有些欠缺，有待于进一步提高和完善。绩效目标工作方面，我单位按照财政部门的相关要求积极及时上报绩效目标表及监控表，通过此项工作本单位的资金使用效益和使用质量明显提高了。</w:t>
      </w:r>
    </w:p>
    <w:p>
      <w:pPr>
        <w:spacing w:line="540" w:lineRule="exact"/>
        <w:ind w:right="-1" w:firstLine="640" w:firstLineChars="200"/>
        <w:jc w:val="left"/>
      </w:pPr>
      <w:r>
        <w:rPr>
          <w:rFonts w:ascii="仿宋_GB2312" w:hAnsi="仿宋_GB2312" w:eastAsia="仿宋_GB2312" w:cs="仿宋_GB2312"/>
          <w:color w:val="000000"/>
          <w:sz w:val="32"/>
        </w:rPr>
        <w:t xml:space="preserve">1、喀什中亚南亚工业园区硬隔离防撞栏项目绩效自评综述：根据年初设定的绩效目标，该项目绩效自评得分为85分。项目全年预算数为6.4万元，执行数为6.4万元，完成预算的100%。主要产出和效果：完成收回或重新开发烂尾楼，提高就业，节本开源。发现的问题及原因：未建立完善的项目开展报备、评估、审批制度。下一步改进措施： 事先明确项目具体方案，制定项目预实现目标；保证项目完成后期工作的持续推动，关注项目后期影响；确保项目实施流程的可监督与公开透明。  </w:t>
      </w:r>
    </w:p>
    <w:p>
      <w:pPr>
        <w:spacing w:line="540" w:lineRule="exact"/>
        <w:ind w:right="-1" w:firstLine="640" w:firstLineChars="200"/>
        <w:jc w:val="left"/>
      </w:pPr>
      <w:r>
        <w:rPr>
          <w:rFonts w:ascii="仿宋_GB2312" w:hAnsi="仿宋_GB2312" w:eastAsia="仿宋_GB2312" w:cs="仿宋_GB2312"/>
          <w:color w:val="000000"/>
          <w:sz w:val="32"/>
        </w:rPr>
        <w:t>2、喀什经济开发区全国第二次污染源普查工作经费项目绩效自评综述：根据年初设定的绩效目标，该项目绩效自评得分为86.2分。项目全年预算数为0.83万元，执行数为0.83万元，完成预算的100%。主要产出和效果：完善喀什市住房保障体系，改善居民生活水平，提高生活质量，解救就业问题。提高节能效果</w:t>
      </w:r>
      <w:r>
        <w:rPr>
          <w:rFonts w:ascii="仿宋_GB2312" w:hAnsi="仿宋_GB2312" w:eastAsia="仿宋_GB2312" w:cs="仿宋_GB2312"/>
          <w:color w:val="000000"/>
          <w:sz w:val="32"/>
        </w:rPr>
        <w:tab/>
      </w:r>
      <w:r>
        <w:rPr>
          <w:rFonts w:ascii="仿宋_GB2312" w:hAnsi="仿宋_GB2312" w:eastAsia="仿宋_GB2312" w:cs="仿宋_GB2312"/>
          <w:color w:val="000000"/>
          <w:sz w:val="32"/>
        </w:rPr>
        <w:t>，减少水土流失</w:t>
      </w:r>
      <w:r>
        <w:rPr>
          <w:rFonts w:ascii="仿宋_GB2312" w:hAnsi="仿宋_GB2312" w:eastAsia="仿宋_GB2312" w:cs="仿宋_GB2312"/>
          <w:color w:val="000000"/>
          <w:sz w:val="32"/>
        </w:rPr>
        <w:tab/>
      </w:r>
      <w:r>
        <w:rPr>
          <w:rFonts w:ascii="仿宋_GB2312" w:hAnsi="仿宋_GB2312" w:eastAsia="仿宋_GB2312" w:cs="仿宋_GB2312"/>
          <w:color w:val="000000"/>
          <w:sz w:val="32"/>
        </w:rPr>
        <w:t xml:space="preserve">。投资使用年限大于等于20年，具有可持续性。发现的问题及原因：未建立完善的项目开展报备、评估、审批制度。下一步改进措施： 事先明确项目具体方案，制定项目预实现目标；保证项目完成后期工作的持续推动，关注项目后期影响；确保项目实施流程的可监督与公开透明。  </w:t>
      </w:r>
    </w:p>
    <w:p>
      <w:pPr>
        <w:spacing w:line="540" w:lineRule="exact"/>
        <w:ind w:right="-1" w:firstLine="640" w:firstLineChars="200"/>
        <w:jc w:val="left"/>
      </w:pPr>
      <w:r>
        <w:rPr>
          <w:rFonts w:ascii="仿宋_GB2312" w:hAnsi="仿宋_GB2312" w:eastAsia="仿宋_GB2312" w:cs="仿宋_GB2312"/>
          <w:color w:val="000000"/>
          <w:sz w:val="32"/>
        </w:rPr>
        <w:t xml:space="preserve">3、中亚南亚园区标准厂房B区食堂项目绩效自评综述：根据年初设定的绩效目标，该项目绩效自评得分为89分。项目全年预算数为540万元，执行数为0万元，完成预算的0%。主要产出和效果：目前喀什经济开发区已建项目大多为行政办公、商务、工业、物流仓储类，为推动人口集聚效应，必须改善用地结构建设基础性的公共服务配套区和居住生活配套区，以利于喀什经济开发区的发展和人口集聚对已建项目大多为行政办公、商务、工业、物流仓储等地的公共服务配套区和居住生活配套区的完善；本项目有利于喀什经济开发区的发展和居民生活配套设施的改善，能够更改善附近居民、上班人群日常生活需求。发现的问题及原因：该项目已取消。下一步改进措施： 未实施，取消项目。  </w:t>
      </w:r>
    </w:p>
    <w:p>
      <w:pPr>
        <w:spacing w:line="540" w:lineRule="exact"/>
        <w:ind w:right="-1" w:firstLine="640" w:firstLineChars="200"/>
        <w:jc w:val="left"/>
      </w:pPr>
      <w:r>
        <w:rPr>
          <w:rFonts w:ascii="仿宋_GB2312" w:hAnsi="仿宋_GB2312" w:eastAsia="仿宋_GB2312" w:cs="仿宋_GB2312"/>
          <w:color w:val="000000"/>
          <w:sz w:val="32"/>
        </w:rPr>
        <w:t xml:space="preserve">4、瑞祥国贸及京新银座地块律师费用项目绩效自评综述：根据年初设定的绩效目标，该项目绩效自评得分为76.2分。项目全年预算数为20万元，执行数为20万元，完成预算的100%。主要产出和效果：改善居民生活水平，提高生活质量，解救就业问题。提高节能效果，减少水土流失。投资使用年限大于等于20年，具有可持续性。发现的问题及原因：未建立完善的项目开展报备、评估、审批制度。下一步改进措施： 继续加大完善文体广场2处、卫生院1栋、疏散广场2处、生态环境改造工程、水电气路暖等配套基础设施建设项目、小学1栋建设项目设施，保证项目实际开展工作的可行性与长远性，保证长期利益。  </w:t>
      </w:r>
    </w:p>
    <w:p>
      <w:pPr>
        <w:spacing w:line="540" w:lineRule="exact"/>
        <w:ind w:right="-1" w:firstLine="640" w:firstLineChars="200"/>
        <w:jc w:val="left"/>
      </w:pPr>
      <w:r>
        <w:rPr>
          <w:rFonts w:ascii="仿宋_GB2312" w:hAnsi="仿宋_GB2312" w:eastAsia="仿宋_GB2312" w:cs="仿宋_GB2312"/>
          <w:color w:val="000000"/>
          <w:sz w:val="32"/>
        </w:rPr>
        <w:t xml:space="preserve">5、喀什经济开发区长安试验区公租房、标准厂房配套设施、幼儿园、便民文化站、业务用房、图书室、标准厂房三期服务设施、便民服务站建设　项目绩效自评综述：根据年初设定的绩效目标，该项目绩效自评得分为88分。项目全年预算数为11,396万元，执行数为10,273.69万元，完成预算的90.15%。主要产出和效果：提升园区建设能力，持续使用年限大于等于2年。发现的问题及原因：喀什中亚南亚工业园区作为喀什经济发展的工业突破的主阵地，但喀什工业园经济总体规模小，工业发展潜力相对小，特别是园区土地开发成本较高，加之工业园区建设起步较晚，工业投入不足，园区基础配套设施严重滞后。下一步改进措施： 1、贯彻落实各项优惠政策，扩大政策效益。2、多措并举，加大招商引资力度。3、提升项目管理，加大投资力度。4、加强体制创新，着力提升园区管理和服务水平。5、关注规上企业，盯紧小升规企业。  </w:t>
      </w:r>
    </w:p>
    <w:p>
      <w:pPr>
        <w:spacing w:line="540" w:lineRule="exact"/>
        <w:ind w:right="-1" w:firstLine="640" w:firstLineChars="200"/>
        <w:jc w:val="left"/>
      </w:pPr>
      <w:r>
        <w:rPr>
          <w:rFonts w:ascii="仿宋_GB2312" w:hAnsi="仿宋_GB2312" w:eastAsia="仿宋_GB2312" w:cs="仿宋_GB2312"/>
          <w:color w:val="000000"/>
          <w:sz w:val="32"/>
        </w:rPr>
        <w:t xml:space="preserve">6、喀什经济开发区长安试验区文体广场、卫生院、疏散广场、生态环境改造工程、水电气路暖等配套基础设施建设、小学建设项目绩效自评综述：根据年初设定的绩效目标，该项目绩效自评得分为77.2分。项目全年预算数为11,694万元，执行数为298.79万元，完成预算的2.56%。主要产出和效果：完成人才大厦内部格局，建成后将成为喀什经济开发区地标性建筑，在招商引资、人才引进、企业孵化等方面起到积极作用，。发现的问题及原因：资金支付率有待进一步提高。下一步改进措施： 加快项目推进进度，确保资金支付率提高，项目尽快产生实际效益。  </w:t>
      </w:r>
    </w:p>
    <w:p>
      <w:pPr>
        <w:spacing w:line="540" w:lineRule="exact"/>
        <w:ind w:right="-1" w:firstLine="640" w:firstLineChars="200"/>
        <w:jc w:val="left"/>
      </w:pPr>
      <w:r>
        <w:rPr>
          <w:rFonts w:ascii="仿宋_GB2312" w:hAnsi="仿宋_GB2312" w:eastAsia="仿宋_GB2312" w:cs="仿宋_GB2312"/>
          <w:color w:val="000000"/>
          <w:sz w:val="32"/>
        </w:rPr>
        <w:t xml:space="preserve">7、深圳产业园、综保区、老车管所、中亚南亚工业园设施项目绩效自评综述：根据年初设定的绩效目标，该项目绩效自评得分为77.7分。项目全年预算数为20.8万元，执行数为20.8万元，完成预算的100%。主要产出和效果：消防设施恢复，保障办公环境安全，满足办公需求，提升公共服务水平，及时支付尾款，确保工程后续质保，工程有效使用年限10年具有可持续性。发现的问题及原因：未建立完善的项目开展报备、评估、审批制度。下一步改进措施： 事先明确项目具体方案，制定项目预实现目标；保证项目完成后期工作的持续推动，关注项目后期影响；确保项目实施流程的可监督与公开透明。  </w:t>
      </w:r>
    </w:p>
    <w:p>
      <w:pPr>
        <w:spacing w:line="540" w:lineRule="exact"/>
        <w:ind w:right="-1" w:firstLine="640" w:firstLineChars="200"/>
        <w:jc w:val="left"/>
      </w:pPr>
      <w:r>
        <w:rPr>
          <w:rFonts w:ascii="仿宋_GB2312" w:hAnsi="仿宋_GB2312" w:eastAsia="仿宋_GB2312" w:cs="仿宋_GB2312"/>
          <w:color w:val="000000"/>
          <w:sz w:val="32"/>
        </w:rPr>
        <w:t xml:space="preserve">8、城东金融贸易区公租房项目绩效自评综述：根据年初设定的绩效目标，该项目绩效自评得分为91分。项目全年预算数为3,360万元，执行数为0万元，完成预算的0%。主要产出和效果：可改变城市脏乱差状况，为改善环境起到积极作用，充分体现了以人为本、人性化管理、人性化建设的城市经营理念，对全面提高城镇居民总体住房质量、改善居住环境、加快喀什经济开发区城市化进程，解决人民群众后顾之忧，建设平安、和谐、生态的喀什经济开发区，有利于推动喀什经济开发区经济和社会的发展，缓解了周边居民的住房需求并极大改善了项目区的整体面貌；为美化喀什经济开发区市容环境，塑造喀什经济开发区的新型城市形象做出贡献，对促进喀什经济开发区经济社会健康，快速发展具有十分重要的意义。发现的问题及原因：该项目已取消。下一步改进措施： 未实施，取消项目。  </w:t>
      </w:r>
    </w:p>
    <w:p>
      <w:pPr>
        <w:spacing w:line="540" w:lineRule="exact"/>
        <w:ind w:right="-1" w:firstLine="640" w:firstLineChars="200"/>
        <w:jc w:val="left"/>
      </w:pPr>
      <w:r>
        <w:rPr>
          <w:rFonts w:ascii="仿宋_GB2312" w:hAnsi="仿宋_GB2312" w:eastAsia="仿宋_GB2312" w:cs="仿宋_GB2312"/>
          <w:color w:val="000000"/>
          <w:sz w:val="32"/>
        </w:rPr>
        <w:t>9、原车管所建设改造项目绩效自评综述：根据年初设定的绩效目标，该项目绩效自评得分为86.8分。项目全年预算数为281.19万元，执行数为111.73万元，完成预算的39.74%。主要产出和效果：（1）预期目标完成程度。项目进展顺利，至2018年底项目预期目标已100%完成； （2）项目实施对经济和社会的影响。项目的顺利实施解决了经开区工业园区污水处理的难题，提升了经开区的环境质量。发现的问题及原因：部门间协调不足。下一步改进措施： 建立以城市管理行政执法局牵头，各相关部门参与的</w:t>
      </w:r>
      <w:r>
        <w:rPr>
          <w:rFonts w:hint="eastAsia" w:ascii="仿宋_GB2312" w:hAnsi="仿宋_GB2312" w:eastAsia="仿宋_GB2312" w:cs="仿宋_GB2312"/>
          <w:color w:val="000000"/>
          <w:sz w:val="32"/>
          <w:lang w:eastAsia="zh-CN"/>
        </w:rPr>
        <w:t>工作员</w:t>
      </w:r>
      <w:bookmarkStart w:id="92" w:name="_GoBack"/>
      <w:bookmarkEnd w:id="92"/>
      <w:r>
        <w:rPr>
          <w:rFonts w:ascii="仿宋_GB2312" w:hAnsi="仿宋_GB2312" w:eastAsia="仿宋_GB2312" w:cs="仿宋_GB2312"/>
          <w:color w:val="000000"/>
          <w:sz w:val="32"/>
        </w:rPr>
        <w:t xml:space="preserve">，加强部门间的协调配合。  </w:t>
      </w:r>
    </w:p>
    <w:p>
      <w:pPr>
        <w:spacing w:line="540" w:lineRule="exact"/>
        <w:ind w:right="-1" w:firstLine="640" w:firstLineChars="200"/>
        <w:jc w:val="left"/>
      </w:pPr>
      <w:r>
        <w:rPr>
          <w:rFonts w:ascii="仿宋_GB2312" w:hAnsi="仿宋_GB2312" w:eastAsia="仿宋_GB2312" w:cs="仿宋_GB2312"/>
          <w:color w:val="000000"/>
          <w:sz w:val="32"/>
        </w:rPr>
        <w:t xml:space="preserve">10、喀什新区标志牌制作贴膜项目绩效自评综述：根据年初设定的绩效目标，该项目绩效自评得分为82分。项目全年预算数为9.43万元，执行数为9.43万元，完成预算的100%。主要产出和效果：促进开发区经济发展，达到新特区形象要求。发现的问题及原因：未建立完善的项目开展报备、评估、审批制度。下一步改进措施： 建立完善的项目开展报备、评估、审批制度；事先明确项目具体方案，制定项目预实现目标；保证项目完成后期工作的持续推动，关注项目后期影响；确保项目编制流程的可监督与公开透明。  </w:t>
      </w:r>
    </w:p>
    <w:p>
      <w:pPr>
        <w:spacing w:line="540" w:lineRule="exact"/>
        <w:ind w:right="-1" w:firstLine="640" w:firstLineChars="200"/>
        <w:jc w:val="left"/>
      </w:pPr>
      <w:r>
        <w:rPr>
          <w:rFonts w:ascii="仿宋_GB2312" w:hAnsi="仿宋_GB2312" w:eastAsia="仿宋_GB2312" w:cs="仿宋_GB2312"/>
          <w:color w:val="000000"/>
          <w:sz w:val="32"/>
        </w:rPr>
        <w:t xml:space="preserve">11、喀什经济开发区展厅（设计）项目绩效自评综述：根据年初设定的绩效目标，该项目绩效自评得分为85分。项目全年预算数为450万元，执行数为0万元，完成预算的0%。主要产出和效果：通过对开发区建设历程进行回顾，对开发区整体形象的展示和对开发区愿景的展望，为了更好地向全国各地进行推介，积极融入“一带一路”的建设。发现的问题及原因：项目已取消。下一步改进措施： 前期进行了大量方案研究，建议待总规调整完成后在实施开发区展厅项目，暂未实施。  </w:t>
      </w:r>
    </w:p>
    <w:p>
      <w:pPr>
        <w:spacing w:line="540" w:lineRule="exact"/>
        <w:ind w:right="-1" w:firstLine="640" w:firstLineChars="200"/>
        <w:jc w:val="left"/>
      </w:pPr>
      <w:r>
        <w:rPr>
          <w:rFonts w:ascii="仿宋_GB2312" w:hAnsi="仿宋_GB2312" w:eastAsia="仿宋_GB2312" w:cs="仿宋_GB2312"/>
          <w:color w:val="000000"/>
          <w:sz w:val="32"/>
        </w:rPr>
        <w:t xml:space="preserve">12、喀什市城北新区排水基础设施建设一期项目绩效自评综述：根据年初设定的绩效目标，该项目绩效自评得分为75分。项目全年预算数为4,000万元，执行数为4,000万元，完成预算的100%。主要产出和效果：增加新的就业机会，加快经济发展，解决就业人员就业问题，提升喀什经开区居民生活质量和服务水平，优化道路网密度，强化片区交通的可达性，解决就业问题，强化公园与城市之间的联系，优化公园的使用率。发现的问题及原因：编制利用率有待提高。下一步改进措施： 根据原合同要求，针对尚未完成的规划设计任务与深圳市建筑设计研究总院进行沟通，明确后续推动事宜。  </w:t>
      </w:r>
    </w:p>
    <w:p>
      <w:pPr>
        <w:spacing w:line="540" w:lineRule="exact"/>
        <w:ind w:right="-1" w:firstLine="640" w:firstLineChars="200"/>
        <w:jc w:val="left"/>
      </w:pPr>
      <w:r>
        <w:rPr>
          <w:rFonts w:ascii="仿宋_GB2312" w:hAnsi="仿宋_GB2312" w:eastAsia="仿宋_GB2312" w:cs="仿宋_GB2312"/>
          <w:color w:val="000000"/>
          <w:sz w:val="32"/>
        </w:rPr>
        <w:t xml:space="preserve">13、喀什经济开发区重要节点生态环境改造工程一期项目绩效自评综述：根据年初设定的绩效目标，该项目绩效自评得分为86分。项目全年预算数为3,000万元，执行数为0万元，完成预算的0%。主要产出和效果：对开发区范围内的七个绿化节点进行绿化景观改造，换填种植土、造微地形、水系安装、种植乔木、灌木、地被植物并养护等。发现的问题及原因：项目的具体实施方案不明确。下一步改进措施： 建立完善的项目开展报备、评估、审批制度；事先明确项目具体方案，制定项目预实现目标；保证项目完成后期工作的持续推动，关注项目后期影响；确保项目实施流程的可监督与公开透明。  </w:t>
      </w:r>
    </w:p>
    <w:p>
      <w:pPr>
        <w:spacing w:line="540" w:lineRule="exact"/>
        <w:ind w:right="-1" w:firstLine="640" w:firstLineChars="200"/>
        <w:jc w:val="left"/>
      </w:pPr>
      <w:r>
        <w:rPr>
          <w:rFonts w:ascii="仿宋_GB2312" w:hAnsi="仿宋_GB2312" w:eastAsia="仿宋_GB2312" w:cs="仿宋_GB2312"/>
          <w:color w:val="000000"/>
          <w:sz w:val="32"/>
        </w:rPr>
        <w:t xml:space="preserve">14、丝路人才大厦建设项目绩效自评综述：根据年初设定的绩效目标，该项目绩效自评得分为87分。项目全年预算数为5,294.69万元，执行数为2,096.81万元，完成预算的39.6%。主要产出和效果：指示道路方向显著，保证目标清晰，降低交通事故发生率，标志牌膜有效使用时间不少于5年，改善城市居民交通环境。发现的问题及原因：未建立完善的项目开展报备、评估、审批制度；事先明确项目具体方案，制定项目预实现目标；保证项目完成后期工作的持续推动，关注项目后期影响；确保项目实施流程的可监督与公开透明。下一步改进措施： 事先明确项目具体方案，制定项目预实现目标；保证项目完成后期工作的持续推动，关注项目后期影响；确保项目实施流程的可监督与公开透明。  </w:t>
      </w:r>
    </w:p>
    <w:p>
      <w:pPr>
        <w:spacing w:line="540" w:lineRule="exact"/>
        <w:ind w:right="-1" w:firstLine="640" w:firstLineChars="200"/>
        <w:jc w:val="left"/>
      </w:pPr>
      <w:r>
        <w:rPr>
          <w:rFonts w:ascii="仿宋_GB2312" w:hAnsi="仿宋_GB2312" w:eastAsia="仿宋_GB2312" w:cs="仿宋_GB2312"/>
          <w:color w:val="000000"/>
          <w:sz w:val="32"/>
        </w:rPr>
        <w:t xml:space="preserve">15、喀什经喀什丝路人才大厦内部完善项目绩效自评综述：根据年初设定的绩效目标，该项目绩效自评得分为71分。项目全年预算数为3,000万元，执行数为0万元，完成预算的0%。主要产出和效果：按照设计方案完成人才大厦内部格局建设，深入研究内外立面设计方案，按最优方案进行内外装饰装修，把喀什丝路人才大厦建造成地标性建筑。发现的问题及原因：因计划方案取消，资金未使用。下一步改进措施： 因计划方案取消，资金未使用。  </w:t>
      </w:r>
    </w:p>
    <w:p>
      <w:pPr>
        <w:spacing w:line="540" w:lineRule="exact"/>
        <w:ind w:right="-1" w:firstLine="640" w:firstLineChars="200"/>
        <w:jc w:val="left"/>
      </w:pPr>
      <w:r>
        <w:rPr>
          <w:rFonts w:ascii="仿宋_GB2312" w:hAnsi="仿宋_GB2312" w:eastAsia="仿宋_GB2312" w:cs="仿宋_GB2312"/>
          <w:color w:val="000000"/>
          <w:sz w:val="32"/>
        </w:rPr>
        <w:t xml:space="preserve">16、喀什市经济开发区系列规划项目绩效自评综述：根据年初设定的绩效目标，该项目绩效自评得分为72分。项目全年预算数为990万元，执行数为693万元，完成预算的70%。主要产出和效果：防止不法分子破坏，保证目标区域，降低事故发生率。改善北部产业园环境。发现的问题及原因：建立完善的项目开展报备、评估、审批制度；。下一步改进措施： 建立完善的项目开展报备、评估、审批制度；事先明确项目具体方案，制定项目预实现目标；保证项目完成后期工作的持续推动，关注项目后期影响；确保项目实施流程的可监督与公开透明。  </w:t>
      </w:r>
    </w:p>
    <w:p>
      <w:pPr>
        <w:spacing w:line="540" w:lineRule="exact"/>
        <w:ind w:right="-1" w:firstLine="640" w:firstLineChars="200"/>
        <w:jc w:val="left"/>
      </w:pPr>
      <w:r>
        <w:rPr>
          <w:rFonts w:ascii="仿宋_GB2312" w:hAnsi="仿宋_GB2312" w:eastAsia="仿宋_GB2312" w:cs="仿宋_GB2312"/>
          <w:color w:val="000000"/>
          <w:sz w:val="32"/>
        </w:rPr>
        <w:t xml:space="preserve">17、喀什经济开发区重点地段修建性详细规划编制项目绩效自评综述：根据年初设定的绩效目标，该项目绩效自评得分为87分。项目全年预算数为116万元，执行数为34.38万元，完成预算的29.64%。主要产出和效果：报建土地利用率100%，环保达标，促进经济发展。发现的问题及原因：缺乏对报建获批建设用地加强管理。下一步改进措施： 加大对报建获批建设用地加强管理，继续督促未竣工的项目进行建设，以提高土地利用率。  </w:t>
      </w:r>
    </w:p>
    <w:p>
      <w:pPr>
        <w:spacing w:line="540" w:lineRule="exact"/>
        <w:ind w:right="-1" w:firstLine="640" w:firstLineChars="200"/>
        <w:jc w:val="left"/>
      </w:pPr>
      <w:r>
        <w:rPr>
          <w:rFonts w:ascii="仿宋_GB2312" w:hAnsi="仿宋_GB2312" w:eastAsia="仿宋_GB2312" w:cs="仿宋_GB2312"/>
          <w:color w:val="000000"/>
          <w:sz w:val="32"/>
        </w:rPr>
        <w:t xml:space="preserve">18、北部产业园工作设施经费项目绩效自评综述：根据年初设定的绩效目标，该项目绩效自评得分为45分。项目全年预算数为40.81万元，执行数为38.77万元，完成预算的95%。主要产出和效果：保证开发区基础设施正常运转，推进开发区建设发展，显著提升生态环境。发现的问题及原因：执行率过低，前期工作不扎实。下一步改进措施： 建立完善的项目开展报备、评估、审批制度；事先明确项目具体方案，制定项目预实现目标；保证项目完成后期工作的持续推动。  </w:t>
      </w:r>
    </w:p>
    <w:p>
      <w:pPr>
        <w:spacing w:line="540" w:lineRule="exact"/>
        <w:ind w:right="-1" w:firstLine="640" w:firstLineChars="200"/>
        <w:jc w:val="left"/>
      </w:pPr>
      <w:r>
        <w:rPr>
          <w:rFonts w:ascii="仿宋_GB2312" w:hAnsi="仿宋_GB2312" w:eastAsia="仿宋_GB2312" w:cs="仿宋_GB2312"/>
          <w:color w:val="000000"/>
          <w:sz w:val="32"/>
        </w:rPr>
        <w:t xml:space="preserve">19、喀什经济开发区新增建设用地有偿使用费项目绩效自评综述：根据年初设定的绩效目标，该项目绩效自评得分为83分。项目全年预算数为5,297.19万元，执行数为5,297.19万元，完成预算的100%。主要产出和效果：有效提高工作人员的积极性，保障工作人员的生活，维护对本地区和谐秩序。发现的问题及原因：不存在问题及原因分析。下一步改进措施： 无建议。  </w:t>
      </w:r>
    </w:p>
    <w:p>
      <w:pPr>
        <w:spacing w:line="540" w:lineRule="exact"/>
        <w:ind w:right="-1" w:firstLine="640" w:firstLineChars="200"/>
        <w:jc w:val="left"/>
      </w:pPr>
      <w:r>
        <w:rPr>
          <w:rFonts w:ascii="仿宋_GB2312" w:hAnsi="仿宋_GB2312" w:eastAsia="仿宋_GB2312" w:cs="仿宋_GB2312"/>
          <w:color w:val="000000"/>
          <w:sz w:val="32"/>
        </w:rPr>
        <w:t xml:space="preserve">20、自治区工业园区专项资金项目绩效自评综述：根据年初设定的绩效目标，该项目绩效自评得分为74分。项目全年预算数为50万元，执行数为0万元，完成预算的0%。主要产出和效果：促进园区内道路、桥涵、污水处理及排放系统、城市生活垃圾处理设施、供电、供热、供水、供气及通信网络建设等基础设施建设项目。发现的问题及原因：2018年度，本项目资金未使用。下一步改进措施： 建议地区区层面加大该项资金的设立比例。  </w:t>
      </w:r>
    </w:p>
    <w:p>
      <w:pPr>
        <w:spacing w:line="540" w:lineRule="exact"/>
        <w:ind w:right="-1" w:firstLine="640" w:firstLineChars="200"/>
        <w:jc w:val="left"/>
      </w:pPr>
      <w:r>
        <w:rPr>
          <w:rFonts w:ascii="仿宋_GB2312" w:hAnsi="仿宋_GB2312" w:eastAsia="仿宋_GB2312" w:cs="仿宋_GB2312"/>
          <w:color w:val="000000"/>
          <w:sz w:val="32"/>
        </w:rPr>
        <w:t xml:space="preserve">21、政府投资基础设施项目绩效自评综述：根据年初设定的绩效目标，该项目绩效自评得分为87分。项目全年预算数为10,834.83万元，执行数为986.9万元，完成预算的9.11%。主要产出和效果：业务保障能力有效提升，持续使用年限大于等于2年。发现的问题及原因：喀什中亚南亚工业园区作为喀什经济发展的工业突破的主阵地，但喀什工业园经济总体规模小，工业发展潜力相对小，特别是园区土地开发成本较高，加之工业园区建设起步较晚，工业投入不足，园区公共设施设施严重滞后。下一步改进措施： 1、贯彻落实各项优惠政策，扩大政策效益。2、多措并举，加大招商引资力度。3、提升项目管理，加大投资力度。4、加强体制创新，着力提升园区管理和服务水平。5、关注规上企业，盯紧小升规企业。  </w:t>
      </w:r>
    </w:p>
    <w:p>
      <w:pPr>
        <w:spacing w:line="540" w:lineRule="exact"/>
        <w:ind w:right="-1" w:firstLine="640" w:firstLineChars="200"/>
        <w:jc w:val="left"/>
      </w:pPr>
      <w:r>
        <w:rPr>
          <w:rFonts w:ascii="仿宋_GB2312" w:hAnsi="仿宋_GB2312" w:eastAsia="仿宋_GB2312" w:cs="仿宋_GB2312"/>
          <w:color w:val="000000"/>
          <w:sz w:val="32"/>
        </w:rPr>
        <w:t xml:space="preserve">22、南疆服装产品物流基地建设资金项目绩效自评综述：根据年初设定的绩效目标，该项目绩效自评得分为70分。项目全年预算数为1,000万元，执行数为0万元，完成预算的0%。主要产出和效果：为充分发挥喀什经济开发区引领和示范作用,促进企业到喀什等地投资,使更多的南疆少数民族群众就近就地就业，对符合申请条件的企业及时审核、拨付，用足用好专项资金，做到专款专用。促进企业到喀什等地投资,使更多的南疆少数民族群众就近就地就业。发现的问题及原因：没有符合条件的企业或项目，故未实施。下一步改进措施： 因没有符合条件的企业或项目，故本项资金未使用。  </w:t>
      </w:r>
    </w:p>
    <w:p>
      <w:pPr>
        <w:spacing w:line="540" w:lineRule="exact"/>
        <w:ind w:right="-1" w:firstLine="640" w:firstLineChars="200"/>
        <w:jc w:val="left"/>
      </w:pPr>
      <w:r>
        <w:rPr>
          <w:rFonts w:ascii="仿宋_GB2312" w:hAnsi="仿宋_GB2312" w:eastAsia="仿宋_GB2312" w:cs="仿宋_GB2312"/>
          <w:color w:val="000000"/>
          <w:sz w:val="32"/>
        </w:rPr>
        <w:t xml:space="preserve">23、干部补助项目绩效自评综述：根据年初设定的绩效目标，该项目绩效自评得分为85分。项目全年预算数为0.72万元，执行数为0.72万元，完成预算的100%。主要产出和效果：为全面普查工作打好基础，加强污染源监管。发现的问题及原因：污染源普查的工作质量有待进一步提升。下一步改进措施： 为保证第二次全国污染源普查质量，严格按照《全国污染源普查条例》和《喀什经济开发区第二次全国污染源普查实施方案》以及有关标准、技术要求，加强质量控制工作。  </w:t>
      </w:r>
    </w:p>
    <w:p>
      <w:pPr>
        <w:spacing w:line="540" w:lineRule="exact"/>
        <w:ind w:right="-1" w:firstLine="640" w:firstLineChars="200"/>
        <w:jc w:val="left"/>
      </w:pPr>
      <w:r>
        <w:rPr>
          <w:rFonts w:ascii="仿宋_GB2312" w:hAnsi="仿宋_GB2312" w:eastAsia="仿宋_GB2312" w:cs="仿宋_GB2312"/>
          <w:color w:val="000000"/>
          <w:sz w:val="32"/>
        </w:rPr>
        <w:t xml:space="preserve">24、智慧仓储及物流配送中心项目绩效自评综述：根据年初设定的绩效目标，该项目绩效自评得分为72分。项目全年预算数为20,000万元，执行数为0万元，完成预算的0%。主要产出和效果：亟需增加仓库面积来满足服装等落地于标准厂房内的劳动密集型企业仓库需求、提高标准厂房利用效率，进而为更多劳动密集型企业的入驻提供厂房空间，特申请智慧仓储及物流配送中心项目用于行政办公、信息发布、商务交流、智慧控制、大数据处理等，具备物流信息收集、处理、分析、物流指令发布、数据处理等功能；建设辅助用房，包括门卫室、配电房等；建设内部道路、停车场、堆货场。发现的问题及原因：本项目未执行。下一步改进措施： 待申报上会研究，并争取纳进“开发区2019年度政府投资项目计划”。  </w:t>
      </w:r>
    </w:p>
    <w:p>
      <w:pPr>
        <w:spacing w:line="540" w:lineRule="exact"/>
        <w:ind w:right="-1" w:firstLine="640" w:firstLineChars="200"/>
        <w:jc w:val="left"/>
      </w:pPr>
      <w:r>
        <w:rPr>
          <w:rFonts w:ascii="仿宋_GB2312" w:hAnsi="仿宋_GB2312" w:eastAsia="仿宋_GB2312" w:cs="仿宋_GB2312"/>
          <w:color w:val="000000"/>
          <w:sz w:val="32"/>
        </w:rPr>
        <w:t xml:space="preserve">25、2016年纺织工业园区公租房建设项目绩效自评综述：根据年初设定的绩效目标，该项目绩效自评得分为83.8分。项目全年预算数为26,600万元，执行数为17,627.09万元，完成预算的66.27%。主要产出和效果：完善喀什市住房保障体系，改善居民生活水平，提高生活质量，解救就业问题。提高节能效果，减少水土流失，投资使用年限大于等于20年，具有可持续性。发现的问题及原因：未建立完善的项目开展报备、评估、审批制度。下一步改进措施： 1.保证项目完成后期工作的持续推动，关注项目后期影响；确保项目实施流程的可监督与公开透明。2、继续加大完善标准厂房配套基础设施，保证项目实际开展工作的可行性与长远性，保证长期利益。  </w:t>
      </w:r>
    </w:p>
    <w:p>
      <w:pPr>
        <w:spacing w:line="540" w:lineRule="exact"/>
        <w:ind w:right="-1" w:firstLine="640" w:firstLineChars="200"/>
        <w:jc w:val="left"/>
      </w:pPr>
      <w:r>
        <w:rPr>
          <w:rFonts w:ascii="仿宋_GB2312" w:hAnsi="仿宋_GB2312" w:eastAsia="仿宋_GB2312" w:cs="仿宋_GB2312"/>
          <w:color w:val="000000"/>
          <w:sz w:val="32"/>
        </w:rPr>
        <w:t xml:space="preserve">26、代建基础设施项目绩效自评综述：根据年初设定的绩效目标，该项目绩效自评得分为87分。项目全年预算数为30,310万元，执行数为30,310万元，完成预算的100%。主要产出和效果：明显降低国有企业债务风险，有效提升企业信用，明显降低企业经济负担，维持本级政府良好信誉。发现的问题及原因：资金拨付后主要由喀什市城投公司的使用管理，未跟踪资金使用情况。下一步改进措施： 建议今后对资金的拨付和使用应加强管理。  </w:t>
      </w:r>
    </w:p>
    <w:p>
      <w:pPr>
        <w:spacing w:line="540" w:lineRule="exact"/>
        <w:ind w:firstLine="640" w:firstLineChars="200"/>
        <w:rPr>
          <w:rFonts w:ascii="仿宋_GB2312" w:eastAsia="仿宋_GB2312"/>
          <w:sz w:val="32"/>
          <w:szCs w:val="32"/>
        </w:rPr>
      </w:pPr>
      <w:r>
        <w:rPr>
          <w:rFonts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210（类）02（款）99（项）指：其他公立医院支出。212（类）99（款）99（项）指：其他城乡社区支出。221（类）02（款）01（项）指：住房公积金。221（类）01（款）06（项）指：公共租赁住房。211（类）11（款）01（项）指：环境监测与信息。208（类）05（款）05（项）指：机关事业单位基本养老保险缴费支出。212（类）01（款）99（项）指：其他城乡社区管理事务支出。212（类）01（款）01（项）指：行政运行。205（类）02（款）02（项）指：小学教育。212（类）02（款）01（项）指：城乡社区规划与管理。212（类）03（款）99（项）指：其他城乡社区公共设施支出。212（类）13（款）01（项）指：城市公共设施。205（类）02（款）01（项）指：学前教育。201（类）13（款）99（项）指：其他商贸事务支出。229（类）99（款）01（项）指：其他支出。201（类）99（款）99（项）指：其他一般公共服务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altName w:val="Arial Unicode MS"/>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- 18 -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comments" w:enforcement="1" w:cryptProviderType="rsaFull" w:cryptAlgorithmClass="hash" w:cryptAlgorithmType="typeAny" w:cryptAlgorithmSid="4" w:cryptSpinCount="0" w:hash="U4D9IGgrSxlzbILczjlxKX7l84E=" w:salt="j0pzfAVZlG5wb1j4yI5a5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15A64"/>
    <w:rsid w:val="0002118A"/>
    <w:rsid w:val="00021887"/>
    <w:rsid w:val="00022242"/>
    <w:rsid w:val="00023F6E"/>
    <w:rsid w:val="0002523E"/>
    <w:rsid w:val="00025DC3"/>
    <w:rsid w:val="00040E57"/>
    <w:rsid w:val="00044097"/>
    <w:rsid w:val="00050E1F"/>
    <w:rsid w:val="00054305"/>
    <w:rsid w:val="0005566C"/>
    <w:rsid w:val="00060E28"/>
    <w:rsid w:val="0006121E"/>
    <w:rsid w:val="000635BD"/>
    <w:rsid w:val="00065838"/>
    <w:rsid w:val="000711BA"/>
    <w:rsid w:val="00080DEB"/>
    <w:rsid w:val="00083BBE"/>
    <w:rsid w:val="00083EBE"/>
    <w:rsid w:val="00091B9F"/>
    <w:rsid w:val="0009640E"/>
    <w:rsid w:val="000A2EE8"/>
    <w:rsid w:val="000A497E"/>
    <w:rsid w:val="000A7155"/>
    <w:rsid w:val="000A7773"/>
    <w:rsid w:val="000B08C5"/>
    <w:rsid w:val="000B206D"/>
    <w:rsid w:val="000B2C8D"/>
    <w:rsid w:val="000B6AD4"/>
    <w:rsid w:val="000B6C14"/>
    <w:rsid w:val="000B7C75"/>
    <w:rsid w:val="000C0190"/>
    <w:rsid w:val="000C1474"/>
    <w:rsid w:val="000C7811"/>
    <w:rsid w:val="000D21F9"/>
    <w:rsid w:val="000E0AB3"/>
    <w:rsid w:val="000E21E6"/>
    <w:rsid w:val="000E65F1"/>
    <w:rsid w:val="000E73E7"/>
    <w:rsid w:val="000E75AE"/>
    <w:rsid w:val="000F1279"/>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5321"/>
    <w:rsid w:val="00157F86"/>
    <w:rsid w:val="00163D9F"/>
    <w:rsid w:val="00164EBC"/>
    <w:rsid w:val="001669CC"/>
    <w:rsid w:val="00166DAB"/>
    <w:rsid w:val="00166E4B"/>
    <w:rsid w:val="00167DB8"/>
    <w:rsid w:val="00170C1A"/>
    <w:rsid w:val="00171B68"/>
    <w:rsid w:val="00173DD7"/>
    <w:rsid w:val="001759CB"/>
    <w:rsid w:val="00177527"/>
    <w:rsid w:val="00184AA3"/>
    <w:rsid w:val="00194099"/>
    <w:rsid w:val="001951FF"/>
    <w:rsid w:val="001A10E6"/>
    <w:rsid w:val="001A135B"/>
    <w:rsid w:val="001A1FDB"/>
    <w:rsid w:val="001A2A1A"/>
    <w:rsid w:val="001B3A06"/>
    <w:rsid w:val="001B5DF3"/>
    <w:rsid w:val="001C265A"/>
    <w:rsid w:val="001C26F2"/>
    <w:rsid w:val="001C38EB"/>
    <w:rsid w:val="001C40B2"/>
    <w:rsid w:val="001C4F2D"/>
    <w:rsid w:val="001C79E0"/>
    <w:rsid w:val="001D54E6"/>
    <w:rsid w:val="001D640A"/>
    <w:rsid w:val="001D65CB"/>
    <w:rsid w:val="001E197A"/>
    <w:rsid w:val="001E2962"/>
    <w:rsid w:val="001E6468"/>
    <w:rsid w:val="001E7F7F"/>
    <w:rsid w:val="001F0E21"/>
    <w:rsid w:val="001F1CB6"/>
    <w:rsid w:val="001F2FE9"/>
    <w:rsid w:val="001F3267"/>
    <w:rsid w:val="001F6948"/>
    <w:rsid w:val="0020033F"/>
    <w:rsid w:val="00200C57"/>
    <w:rsid w:val="00201CC4"/>
    <w:rsid w:val="00207AD5"/>
    <w:rsid w:val="0021204D"/>
    <w:rsid w:val="002127E3"/>
    <w:rsid w:val="002146E7"/>
    <w:rsid w:val="00216FD0"/>
    <w:rsid w:val="0022011C"/>
    <w:rsid w:val="00226DF0"/>
    <w:rsid w:val="00231C2E"/>
    <w:rsid w:val="00241293"/>
    <w:rsid w:val="00245135"/>
    <w:rsid w:val="002453A6"/>
    <w:rsid w:val="00247520"/>
    <w:rsid w:val="00251FC8"/>
    <w:rsid w:val="002546EA"/>
    <w:rsid w:val="00256471"/>
    <w:rsid w:val="00257943"/>
    <w:rsid w:val="002608FE"/>
    <w:rsid w:val="00271D59"/>
    <w:rsid w:val="0027418F"/>
    <w:rsid w:val="002767AD"/>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2F47"/>
    <w:rsid w:val="0033566D"/>
    <w:rsid w:val="003441F7"/>
    <w:rsid w:val="00344D62"/>
    <w:rsid w:val="00345984"/>
    <w:rsid w:val="00361388"/>
    <w:rsid w:val="00362FA4"/>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3234"/>
    <w:rsid w:val="003E4A05"/>
    <w:rsid w:val="003E5F5C"/>
    <w:rsid w:val="003E7D9E"/>
    <w:rsid w:val="003F37E0"/>
    <w:rsid w:val="003F78F2"/>
    <w:rsid w:val="00401A23"/>
    <w:rsid w:val="00401CA2"/>
    <w:rsid w:val="00405E6D"/>
    <w:rsid w:val="00411C55"/>
    <w:rsid w:val="00415648"/>
    <w:rsid w:val="00415BCE"/>
    <w:rsid w:val="00416351"/>
    <w:rsid w:val="0042015D"/>
    <w:rsid w:val="0042215C"/>
    <w:rsid w:val="004223DE"/>
    <w:rsid w:val="00424663"/>
    <w:rsid w:val="00425950"/>
    <w:rsid w:val="00430B78"/>
    <w:rsid w:val="00441209"/>
    <w:rsid w:val="00443568"/>
    <w:rsid w:val="00444981"/>
    <w:rsid w:val="0045026B"/>
    <w:rsid w:val="00453F94"/>
    <w:rsid w:val="004558AB"/>
    <w:rsid w:val="00457729"/>
    <w:rsid w:val="0047598D"/>
    <w:rsid w:val="004802CE"/>
    <w:rsid w:val="00486DB6"/>
    <w:rsid w:val="00487D16"/>
    <w:rsid w:val="00490FF3"/>
    <w:rsid w:val="004957F5"/>
    <w:rsid w:val="004976A5"/>
    <w:rsid w:val="004A0034"/>
    <w:rsid w:val="004A02D4"/>
    <w:rsid w:val="004A0690"/>
    <w:rsid w:val="004A2CA4"/>
    <w:rsid w:val="004A7A7B"/>
    <w:rsid w:val="004B401D"/>
    <w:rsid w:val="004B58A1"/>
    <w:rsid w:val="004B7BB8"/>
    <w:rsid w:val="004C351C"/>
    <w:rsid w:val="004C42F9"/>
    <w:rsid w:val="004C5BB4"/>
    <w:rsid w:val="004C7257"/>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1561C"/>
    <w:rsid w:val="00523B8A"/>
    <w:rsid w:val="00532585"/>
    <w:rsid w:val="00533FA0"/>
    <w:rsid w:val="0053657E"/>
    <w:rsid w:val="0054006F"/>
    <w:rsid w:val="00540C10"/>
    <w:rsid w:val="005464FA"/>
    <w:rsid w:val="0055742A"/>
    <w:rsid w:val="00560650"/>
    <w:rsid w:val="00567FB5"/>
    <w:rsid w:val="005770C3"/>
    <w:rsid w:val="00577753"/>
    <w:rsid w:val="00581AD2"/>
    <w:rsid w:val="005857A0"/>
    <w:rsid w:val="00587D18"/>
    <w:rsid w:val="00591E58"/>
    <w:rsid w:val="00592D42"/>
    <w:rsid w:val="005A5B02"/>
    <w:rsid w:val="005B3245"/>
    <w:rsid w:val="005B6754"/>
    <w:rsid w:val="005B75C0"/>
    <w:rsid w:val="005C3143"/>
    <w:rsid w:val="005D311B"/>
    <w:rsid w:val="005D559F"/>
    <w:rsid w:val="005D61D8"/>
    <w:rsid w:val="005E011D"/>
    <w:rsid w:val="005E3B86"/>
    <w:rsid w:val="005E4E6B"/>
    <w:rsid w:val="005E6995"/>
    <w:rsid w:val="005E7043"/>
    <w:rsid w:val="005E7C64"/>
    <w:rsid w:val="005F2A5A"/>
    <w:rsid w:val="005F2AEA"/>
    <w:rsid w:val="005F4FFE"/>
    <w:rsid w:val="00602C6F"/>
    <w:rsid w:val="00604ECA"/>
    <w:rsid w:val="006069FD"/>
    <w:rsid w:val="00610EE1"/>
    <w:rsid w:val="00613C84"/>
    <w:rsid w:val="0061632B"/>
    <w:rsid w:val="006168AD"/>
    <w:rsid w:val="00621929"/>
    <w:rsid w:val="0062266C"/>
    <w:rsid w:val="006250CB"/>
    <w:rsid w:val="00627F36"/>
    <w:rsid w:val="006304D1"/>
    <w:rsid w:val="00631DA8"/>
    <w:rsid w:val="0063431E"/>
    <w:rsid w:val="00645C30"/>
    <w:rsid w:val="0065497B"/>
    <w:rsid w:val="00654E41"/>
    <w:rsid w:val="00667D4E"/>
    <w:rsid w:val="0067149A"/>
    <w:rsid w:val="0069278A"/>
    <w:rsid w:val="00697D49"/>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1E8"/>
    <w:rsid w:val="006F5B6D"/>
    <w:rsid w:val="006F5BD8"/>
    <w:rsid w:val="006F7AF9"/>
    <w:rsid w:val="007015B6"/>
    <w:rsid w:val="00701EC2"/>
    <w:rsid w:val="007021BE"/>
    <w:rsid w:val="00706C32"/>
    <w:rsid w:val="00707C9C"/>
    <w:rsid w:val="007106B4"/>
    <w:rsid w:val="007214A9"/>
    <w:rsid w:val="007214DF"/>
    <w:rsid w:val="007220B1"/>
    <w:rsid w:val="00724A4B"/>
    <w:rsid w:val="00727A14"/>
    <w:rsid w:val="007302C1"/>
    <w:rsid w:val="0073120F"/>
    <w:rsid w:val="007314F0"/>
    <w:rsid w:val="007324AF"/>
    <w:rsid w:val="0074240E"/>
    <w:rsid w:val="00742FA1"/>
    <w:rsid w:val="007476BA"/>
    <w:rsid w:val="00750798"/>
    <w:rsid w:val="00752BCF"/>
    <w:rsid w:val="0076538D"/>
    <w:rsid w:val="007714E5"/>
    <w:rsid w:val="00773D5E"/>
    <w:rsid w:val="00776FAF"/>
    <w:rsid w:val="00777229"/>
    <w:rsid w:val="007775E8"/>
    <w:rsid w:val="0078072D"/>
    <w:rsid w:val="00784108"/>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101A6"/>
    <w:rsid w:val="0081044D"/>
    <w:rsid w:val="00821E76"/>
    <w:rsid w:val="008259BC"/>
    <w:rsid w:val="0083105A"/>
    <w:rsid w:val="00837040"/>
    <w:rsid w:val="008427AB"/>
    <w:rsid w:val="008439F9"/>
    <w:rsid w:val="00847DCE"/>
    <w:rsid w:val="0085023C"/>
    <w:rsid w:val="00853966"/>
    <w:rsid w:val="00857827"/>
    <w:rsid w:val="00862CEF"/>
    <w:rsid w:val="00866A6C"/>
    <w:rsid w:val="00895252"/>
    <w:rsid w:val="008969FE"/>
    <w:rsid w:val="008A237C"/>
    <w:rsid w:val="008A2D2C"/>
    <w:rsid w:val="008A3633"/>
    <w:rsid w:val="008B2514"/>
    <w:rsid w:val="008B4607"/>
    <w:rsid w:val="008B5C78"/>
    <w:rsid w:val="008C030F"/>
    <w:rsid w:val="008C3836"/>
    <w:rsid w:val="008D046E"/>
    <w:rsid w:val="008E28BD"/>
    <w:rsid w:val="008E4EAC"/>
    <w:rsid w:val="008E541E"/>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354F6"/>
    <w:rsid w:val="00940134"/>
    <w:rsid w:val="00943A3E"/>
    <w:rsid w:val="00944CCC"/>
    <w:rsid w:val="00945E7F"/>
    <w:rsid w:val="00947403"/>
    <w:rsid w:val="0095057C"/>
    <w:rsid w:val="009543BA"/>
    <w:rsid w:val="00954FB4"/>
    <w:rsid w:val="0095754B"/>
    <w:rsid w:val="00960925"/>
    <w:rsid w:val="00970AB3"/>
    <w:rsid w:val="00982C13"/>
    <w:rsid w:val="00985DF4"/>
    <w:rsid w:val="00987E45"/>
    <w:rsid w:val="0099241E"/>
    <w:rsid w:val="009942F3"/>
    <w:rsid w:val="00994950"/>
    <w:rsid w:val="0099652B"/>
    <w:rsid w:val="009A0831"/>
    <w:rsid w:val="009A44FB"/>
    <w:rsid w:val="009A5CDE"/>
    <w:rsid w:val="009A7040"/>
    <w:rsid w:val="009B3F92"/>
    <w:rsid w:val="009C3CE9"/>
    <w:rsid w:val="009C6A82"/>
    <w:rsid w:val="009D13F2"/>
    <w:rsid w:val="009D15D2"/>
    <w:rsid w:val="009D4D97"/>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4617D"/>
    <w:rsid w:val="00A467C6"/>
    <w:rsid w:val="00A55F77"/>
    <w:rsid w:val="00A72457"/>
    <w:rsid w:val="00A86966"/>
    <w:rsid w:val="00A872D8"/>
    <w:rsid w:val="00A912CC"/>
    <w:rsid w:val="00A970D1"/>
    <w:rsid w:val="00AA57AE"/>
    <w:rsid w:val="00AB0AFB"/>
    <w:rsid w:val="00AC002C"/>
    <w:rsid w:val="00AC1DD9"/>
    <w:rsid w:val="00AC4218"/>
    <w:rsid w:val="00AD13C4"/>
    <w:rsid w:val="00AD3489"/>
    <w:rsid w:val="00AD3E2D"/>
    <w:rsid w:val="00AD51DD"/>
    <w:rsid w:val="00AE5C1B"/>
    <w:rsid w:val="00AE79D8"/>
    <w:rsid w:val="00AE7BAC"/>
    <w:rsid w:val="00AF09FB"/>
    <w:rsid w:val="00B00C16"/>
    <w:rsid w:val="00B03B3E"/>
    <w:rsid w:val="00B046A4"/>
    <w:rsid w:val="00B06382"/>
    <w:rsid w:val="00B0733F"/>
    <w:rsid w:val="00B10701"/>
    <w:rsid w:val="00B10AF5"/>
    <w:rsid w:val="00B146E7"/>
    <w:rsid w:val="00B30B86"/>
    <w:rsid w:val="00B32A4F"/>
    <w:rsid w:val="00B358E2"/>
    <w:rsid w:val="00B40CB6"/>
    <w:rsid w:val="00B4203A"/>
    <w:rsid w:val="00B50AD6"/>
    <w:rsid w:val="00B51AB3"/>
    <w:rsid w:val="00B5337C"/>
    <w:rsid w:val="00B5340F"/>
    <w:rsid w:val="00B611F7"/>
    <w:rsid w:val="00B6765D"/>
    <w:rsid w:val="00B717C5"/>
    <w:rsid w:val="00B718B8"/>
    <w:rsid w:val="00B73C33"/>
    <w:rsid w:val="00B75463"/>
    <w:rsid w:val="00B76C9B"/>
    <w:rsid w:val="00B90F21"/>
    <w:rsid w:val="00B93445"/>
    <w:rsid w:val="00B94F7E"/>
    <w:rsid w:val="00B95F83"/>
    <w:rsid w:val="00B965C5"/>
    <w:rsid w:val="00B96E34"/>
    <w:rsid w:val="00B9729A"/>
    <w:rsid w:val="00BB0177"/>
    <w:rsid w:val="00BB3A31"/>
    <w:rsid w:val="00BC1A56"/>
    <w:rsid w:val="00BC2D65"/>
    <w:rsid w:val="00BD1F2C"/>
    <w:rsid w:val="00BD2BBE"/>
    <w:rsid w:val="00BD7EF8"/>
    <w:rsid w:val="00BE0FEE"/>
    <w:rsid w:val="00BE4817"/>
    <w:rsid w:val="00BE721C"/>
    <w:rsid w:val="00BF0DC7"/>
    <w:rsid w:val="00BF1F54"/>
    <w:rsid w:val="00BF31AA"/>
    <w:rsid w:val="00C04782"/>
    <w:rsid w:val="00C04F2D"/>
    <w:rsid w:val="00C238F0"/>
    <w:rsid w:val="00C25CC6"/>
    <w:rsid w:val="00C31297"/>
    <w:rsid w:val="00C61A9B"/>
    <w:rsid w:val="00C66BD8"/>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3D75"/>
    <w:rsid w:val="00D36199"/>
    <w:rsid w:val="00D36A8D"/>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57FE6"/>
    <w:rsid w:val="00E64B7B"/>
    <w:rsid w:val="00E66654"/>
    <w:rsid w:val="00E709FC"/>
    <w:rsid w:val="00E7154C"/>
    <w:rsid w:val="00E74817"/>
    <w:rsid w:val="00E75B6D"/>
    <w:rsid w:val="00E76C2B"/>
    <w:rsid w:val="00E8294F"/>
    <w:rsid w:val="00E870C3"/>
    <w:rsid w:val="00E8738A"/>
    <w:rsid w:val="00E916E5"/>
    <w:rsid w:val="00E92780"/>
    <w:rsid w:val="00E92F11"/>
    <w:rsid w:val="00E95399"/>
    <w:rsid w:val="00E95FBD"/>
    <w:rsid w:val="00E9654C"/>
    <w:rsid w:val="00EA1A1C"/>
    <w:rsid w:val="00EA34EF"/>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05960"/>
    <w:rsid w:val="00F113F4"/>
    <w:rsid w:val="00F13479"/>
    <w:rsid w:val="00F14CE8"/>
    <w:rsid w:val="00F1625A"/>
    <w:rsid w:val="00F17C93"/>
    <w:rsid w:val="00F50BA2"/>
    <w:rsid w:val="00F5664D"/>
    <w:rsid w:val="00F6771B"/>
    <w:rsid w:val="00F703C3"/>
    <w:rsid w:val="00F80799"/>
    <w:rsid w:val="00F8162A"/>
    <w:rsid w:val="00F81776"/>
    <w:rsid w:val="00F835AD"/>
    <w:rsid w:val="00F83D56"/>
    <w:rsid w:val="00F844FD"/>
    <w:rsid w:val="00F869A3"/>
    <w:rsid w:val="00F86FB3"/>
    <w:rsid w:val="00F93037"/>
    <w:rsid w:val="00F97BF1"/>
    <w:rsid w:val="00FA29D8"/>
    <w:rsid w:val="00FA5F5D"/>
    <w:rsid w:val="00FB0BA6"/>
    <w:rsid w:val="00FC29A0"/>
    <w:rsid w:val="00FC6C17"/>
    <w:rsid w:val="00FD2B63"/>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61B33CA"/>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2656D0"/>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0622E1B"/>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3C43AAC"/>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1890</Words>
  <Characters>10773</Characters>
  <Lines>89</Lines>
  <Paragraphs>25</Paragraphs>
  <TotalTime>339</TotalTime>
  <ScaleCrop>false</ScaleCrop>
  <LinksUpToDate>false</LinksUpToDate>
  <CharactersWithSpaces>12638</CharactersWithSpaces>
  <Application>WPS Office_11.1.0.9208_F1E327BC-269C-435d-A152-05C5408002CA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2021-05-30T02:55:16Z</dcterms:modified>
  <cp:revision>849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