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自治区</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hAnsi="宋体" w:eastAsia="仿宋_GB2312" w:cs="宋体"/>
          <w:kern w:val="0"/>
          <w:sz w:val="32"/>
          <w:szCs w:val="32"/>
          <w:u w:val="single"/>
        </w:rPr>
      </w:pPr>
      <w:r>
        <w:rPr>
          <w:rFonts w:hint="eastAsia" w:hAnsi="宋体" w:eastAsia="仿宋_GB2312" w:cs="宋体"/>
          <w:kern w:val="0"/>
          <w:sz w:val="32"/>
          <w:szCs w:val="32"/>
        </w:rPr>
        <w:t>项目名称：</w:t>
      </w:r>
      <w:r>
        <w:rPr>
          <w:rFonts w:hint="eastAsia" w:hAnsi="宋体" w:eastAsia="仿宋_GB2312" w:cs="宋体"/>
          <w:kern w:val="0"/>
          <w:sz w:val="32"/>
          <w:szCs w:val="32"/>
          <w:u w:val="single"/>
          <w:lang w:eastAsia="zh-CN"/>
        </w:rPr>
        <w:t>喀什经济开发区重要节点生态环境改造工程一期项目</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Ansi="宋体" w:eastAsia="仿宋_GB2312" w:cs="宋体"/>
          <w:kern w:val="0"/>
          <w:sz w:val="28"/>
          <w:szCs w:val="28"/>
          <w:u w:val="single"/>
        </w:rPr>
      </w:pPr>
      <w:r>
        <w:rPr>
          <w:rFonts w:hint="eastAsia" w:hAnsi="宋体" w:eastAsia="仿宋_GB2312" w:cs="宋体"/>
          <w:kern w:val="0"/>
          <w:sz w:val="32"/>
          <w:szCs w:val="32"/>
        </w:rPr>
        <w:t>实施单位（公章）：</w:t>
      </w:r>
      <w:r>
        <w:rPr>
          <w:rFonts w:hint="eastAsia" w:hAnsi="宋体" w:cs="宋体"/>
          <w:kern w:val="0"/>
          <w:sz w:val="28"/>
          <w:szCs w:val="28"/>
          <w:u w:val="single"/>
        </w:rPr>
        <w:t>喀什经济开发区投资开发有限责任公司</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Ansi="宋体" w:cs="宋体"/>
          <w:kern w:val="0"/>
          <w:sz w:val="28"/>
          <w:szCs w:val="28"/>
          <w:u w:val="single"/>
        </w:rPr>
      </w:pPr>
      <w:r>
        <w:rPr>
          <w:rFonts w:hint="eastAsia" w:hAnsi="宋体" w:eastAsia="仿宋_GB2312" w:cs="宋体"/>
          <w:kern w:val="0"/>
          <w:sz w:val="32"/>
          <w:szCs w:val="32"/>
        </w:rPr>
        <w:t>主管部门（公章）：</w:t>
      </w:r>
      <w:r>
        <w:rPr>
          <w:rFonts w:hint="eastAsia" w:hAnsi="宋体" w:cs="宋体"/>
          <w:kern w:val="0"/>
          <w:sz w:val="28"/>
          <w:szCs w:val="28"/>
          <w:u w:val="single"/>
        </w:rPr>
        <w:t>喀什经济开发区规划土地建设环保局</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hAnsi="宋体" w:eastAsia="仿宋_GB2312" w:cs="宋体"/>
          <w:kern w:val="0"/>
          <w:sz w:val="32"/>
          <w:szCs w:val="32"/>
          <w:lang w:eastAsia="zh-CN"/>
        </w:rPr>
      </w:pPr>
      <w:r>
        <w:rPr>
          <w:rFonts w:hint="eastAsia" w:hAnsi="宋体" w:eastAsia="仿宋_GB2312" w:cs="宋体"/>
          <w:kern w:val="0"/>
          <w:sz w:val="32"/>
          <w:szCs w:val="32"/>
        </w:rPr>
        <w:t>项目负责人（签章）：</w:t>
      </w:r>
      <w:r>
        <w:rPr>
          <w:rFonts w:hint="eastAsia" w:hAnsi="宋体" w:eastAsia="仿宋_GB2312" w:cs="宋体"/>
          <w:kern w:val="0"/>
          <w:sz w:val="32"/>
          <w:szCs w:val="32"/>
          <w:lang w:eastAsia="zh-CN"/>
        </w:rPr>
        <w:t>木拉迪力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Ansi="宋体" w:eastAsia="仿宋_GB2312" w:cs="宋体"/>
          <w:kern w:val="0"/>
          <w:sz w:val="32"/>
          <w:szCs w:val="32"/>
        </w:rPr>
      </w:pPr>
      <w:r>
        <w:rPr>
          <w:rFonts w:hint="eastAsia" w:hAnsi="宋体" w:eastAsia="仿宋_GB2312" w:cs="宋体"/>
          <w:kern w:val="0"/>
          <w:sz w:val="32"/>
          <w:szCs w:val="32"/>
        </w:rPr>
        <w:t>填报时间：</w:t>
      </w:r>
      <w:r>
        <w:rPr>
          <w:rFonts w:hint="eastAsia" w:hAnsi="宋体" w:eastAsia="仿宋_GB2312" w:cs="宋体"/>
          <w:kern w:val="0"/>
          <w:sz w:val="32"/>
          <w:szCs w:val="32"/>
          <w:lang w:val="en-US" w:eastAsia="zh-CN"/>
        </w:rPr>
        <w:t>2019</w:t>
      </w:r>
      <w:r>
        <w:rPr>
          <w:rFonts w:hint="eastAsia" w:hAnsi="宋体" w:eastAsia="仿宋_GB2312" w:cs="宋体"/>
          <w:kern w:val="0"/>
          <w:sz w:val="32"/>
          <w:szCs w:val="32"/>
        </w:rPr>
        <w:t>年</w:t>
      </w:r>
      <w:r>
        <w:rPr>
          <w:rFonts w:hint="eastAsia" w:hAnsi="宋体" w:eastAsia="仿宋_GB2312" w:cs="宋体"/>
          <w:kern w:val="0"/>
          <w:sz w:val="32"/>
          <w:szCs w:val="32"/>
          <w:lang w:val="en-US" w:eastAsia="zh-CN"/>
        </w:rPr>
        <w:t>03</w:t>
      </w:r>
      <w:r>
        <w:rPr>
          <w:rFonts w:hint="eastAsia" w:hAnsi="宋体" w:eastAsia="仿宋_GB2312" w:cs="宋体"/>
          <w:kern w:val="0"/>
          <w:sz w:val="32"/>
          <w:szCs w:val="32"/>
        </w:rPr>
        <w:t>月</w:t>
      </w:r>
      <w:r>
        <w:rPr>
          <w:rFonts w:hint="eastAsia" w:hAnsi="宋体" w:eastAsia="仿宋_GB2312" w:cs="宋体"/>
          <w:kern w:val="0"/>
          <w:sz w:val="32"/>
          <w:szCs w:val="32"/>
          <w:lang w:val="en-US" w:eastAsia="zh-CN"/>
        </w:rPr>
        <w:t>10</w:t>
      </w:r>
      <w:r>
        <w:rPr>
          <w:rFonts w:hint="eastAsia" w:hAnsi="宋体" w:eastAsia="仿宋_GB2312" w:cs="宋体"/>
          <w:kern w:val="0"/>
          <w:sz w:val="32"/>
          <w:szCs w:val="32"/>
        </w:rPr>
        <w:t>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9"/>
          <w:rFonts w:hint="eastAsia" w:ascii="黑体" w:hAnsi="黑体" w:eastAsia="黑体"/>
          <w:b w:val="0"/>
          <w:spacing w:val="-4"/>
          <w:sz w:val="32"/>
          <w:szCs w:val="32"/>
        </w:rPr>
      </w:pPr>
    </w:p>
    <w:p>
      <w:pPr>
        <w:spacing w:line="540" w:lineRule="exact"/>
        <w:rPr>
          <w:rStyle w:val="19"/>
          <w:rFonts w:hint="eastAsia" w:ascii="黑体" w:hAnsi="黑体" w:eastAsia="黑体"/>
          <w:b w:val="0"/>
          <w:spacing w:val="-4"/>
          <w:sz w:val="32"/>
          <w:szCs w:val="32"/>
        </w:rPr>
      </w:pP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564" w:firstLineChars="181"/>
        <w:rPr>
          <w:rStyle w:val="19"/>
          <w:rFonts w:hint="eastAsia" w:ascii="仿宋" w:hAnsi="仿宋" w:eastAsia="仿宋"/>
          <w:b w:val="0"/>
          <w:bCs/>
          <w:color w:val="auto"/>
          <w:spacing w:val="-4"/>
          <w:sz w:val="32"/>
          <w:szCs w:val="32"/>
          <w:highlight w:val="none"/>
          <w:lang w:eastAsia="zh-CN"/>
        </w:rPr>
      </w:pPr>
      <w:r>
        <w:rPr>
          <w:rStyle w:val="19"/>
          <w:rFonts w:hint="eastAsia" w:ascii="仿宋" w:hAnsi="仿宋" w:eastAsia="仿宋"/>
          <w:b w:val="0"/>
          <w:bCs/>
          <w:color w:val="auto"/>
          <w:spacing w:val="-4"/>
          <w:sz w:val="32"/>
          <w:szCs w:val="32"/>
          <w:highlight w:val="none"/>
          <w:lang w:eastAsia="zh-CN"/>
        </w:rPr>
        <w:t>喀什经济开发区投资开发有限责任公司是喀什经济开发区管委会下属国资公司，主要经营基础设施投资建设、道路工程施工、公用设施的投资和经营、土地开发、房地产开发与经营、房屋租赁、仓储、物流配送、信息咨询服务、实业投资、资产管理、会展服务。</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spacing w:line="540" w:lineRule="exact"/>
        <w:ind w:firstLine="567" w:firstLineChars="181"/>
        <w:rPr>
          <w:rStyle w:val="19"/>
          <w:rFonts w:hint="eastAsia" w:ascii="仿宋" w:hAnsi="仿宋" w:eastAsia="仿宋"/>
          <w:b/>
          <w:bCs w:val="0"/>
          <w:spacing w:val="-4"/>
          <w:sz w:val="32"/>
          <w:szCs w:val="32"/>
          <w:lang w:eastAsia="zh-CN"/>
        </w:rPr>
      </w:pPr>
      <w:r>
        <w:rPr>
          <w:rStyle w:val="19"/>
          <w:rFonts w:hint="eastAsia" w:ascii="仿宋" w:hAnsi="仿宋" w:eastAsia="仿宋"/>
          <w:b/>
          <w:bCs w:val="0"/>
          <w:spacing w:val="-4"/>
          <w:sz w:val="32"/>
          <w:szCs w:val="32"/>
          <w:lang w:eastAsia="zh-CN"/>
        </w:rPr>
        <w:t>预期目标：</w:t>
      </w:r>
      <w:r>
        <w:rPr>
          <w:rStyle w:val="19"/>
          <w:rFonts w:hint="eastAsia" w:ascii="仿宋" w:hAnsi="仿宋" w:eastAsia="仿宋"/>
          <w:b w:val="0"/>
          <w:bCs/>
          <w:spacing w:val="-4"/>
          <w:sz w:val="32"/>
          <w:szCs w:val="32"/>
          <w:lang w:eastAsia="zh-CN"/>
        </w:rPr>
        <w:t>对开发区范围内的七个绿化节点进行绿化景观改造，换填种植土、造微地形、水系安装、种植乔木、灌木、地被植物并养护等。</w:t>
      </w:r>
    </w:p>
    <w:p>
      <w:pPr>
        <w:spacing w:line="540" w:lineRule="exact"/>
        <w:ind w:firstLine="567" w:firstLineChars="181"/>
        <w:rPr>
          <w:rStyle w:val="19"/>
          <w:rFonts w:hint="eastAsia" w:ascii="仿宋" w:hAnsi="仿宋" w:eastAsia="仿宋"/>
          <w:b w:val="0"/>
          <w:bCs/>
          <w:spacing w:val="-4"/>
          <w:sz w:val="32"/>
          <w:szCs w:val="32"/>
          <w:lang w:eastAsia="zh-CN"/>
        </w:rPr>
      </w:pPr>
      <w:r>
        <w:rPr>
          <w:rStyle w:val="19"/>
          <w:rFonts w:hint="eastAsia" w:ascii="仿宋" w:hAnsi="仿宋" w:eastAsia="仿宋"/>
          <w:b/>
          <w:bCs w:val="0"/>
          <w:spacing w:val="-4"/>
          <w:sz w:val="32"/>
          <w:szCs w:val="32"/>
        </w:rPr>
        <w:t>阶段性目标</w:t>
      </w:r>
      <w:r>
        <w:rPr>
          <w:rStyle w:val="19"/>
          <w:rFonts w:hint="eastAsia" w:ascii="仿宋" w:hAnsi="仿宋" w:eastAsia="仿宋"/>
          <w:b/>
          <w:bCs w:val="0"/>
          <w:spacing w:val="-4"/>
          <w:sz w:val="32"/>
          <w:szCs w:val="32"/>
          <w:lang w:eastAsia="zh-CN"/>
        </w:rPr>
        <w:t>：</w:t>
      </w:r>
      <w:r>
        <w:rPr>
          <w:rStyle w:val="19"/>
          <w:rFonts w:hint="eastAsia" w:ascii="仿宋" w:hAnsi="仿宋" w:eastAsia="仿宋"/>
          <w:b w:val="0"/>
          <w:bCs/>
          <w:spacing w:val="-4"/>
          <w:sz w:val="32"/>
          <w:szCs w:val="32"/>
          <w:lang w:eastAsia="zh-CN"/>
        </w:rPr>
        <w:t>改造及提升喀什经济开发区生态环境条件。</w:t>
      </w:r>
    </w:p>
    <w:p>
      <w:pPr>
        <w:spacing w:line="540" w:lineRule="exact"/>
        <w:ind w:firstLine="567" w:firstLineChars="181"/>
        <w:rPr>
          <w:rStyle w:val="19"/>
          <w:rFonts w:hint="eastAsia" w:ascii="仿宋" w:hAnsi="仿宋" w:eastAsia="仿宋"/>
          <w:b w:val="0"/>
          <w:color w:val="FF0000"/>
          <w:spacing w:val="-4"/>
          <w:sz w:val="32"/>
          <w:szCs w:val="32"/>
          <w:lang w:eastAsia="zh-CN"/>
        </w:rPr>
      </w:pPr>
      <w:r>
        <w:rPr>
          <w:rStyle w:val="19"/>
          <w:rFonts w:hint="eastAsia" w:ascii="仿宋" w:hAnsi="仿宋" w:eastAsia="仿宋"/>
          <w:b/>
          <w:bCs w:val="0"/>
          <w:spacing w:val="-4"/>
          <w:sz w:val="32"/>
          <w:szCs w:val="32"/>
        </w:rPr>
        <w:t>项目基本性质</w:t>
      </w:r>
      <w:r>
        <w:rPr>
          <w:rStyle w:val="19"/>
          <w:rFonts w:hint="eastAsia" w:ascii="仿宋" w:hAnsi="仿宋" w:eastAsia="仿宋"/>
          <w:b w:val="0"/>
          <w:spacing w:val="-4"/>
          <w:sz w:val="32"/>
          <w:szCs w:val="32"/>
          <w:lang w:eastAsia="zh-CN"/>
        </w:rPr>
        <w:t>：</w:t>
      </w:r>
      <w:r>
        <w:rPr>
          <w:rStyle w:val="19"/>
          <w:rFonts w:hint="eastAsia" w:ascii="仿宋" w:hAnsi="仿宋" w:eastAsia="仿宋"/>
          <w:b w:val="0"/>
          <w:color w:val="auto"/>
          <w:spacing w:val="-4"/>
          <w:sz w:val="32"/>
          <w:szCs w:val="32"/>
          <w:lang w:eastAsia="zh-CN"/>
        </w:rPr>
        <w:t>政府投资项目。</w:t>
      </w:r>
    </w:p>
    <w:p>
      <w:pPr>
        <w:spacing w:line="540" w:lineRule="exact"/>
        <w:ind w:firstLine="567" w:firstLineChars="181"/>
        <w:rPr>
          <w:rStyle w:val="19"/>
          <w:rFonts w:hint="eastAsia" w:ascii="仿宋" w:hAnsi="仿宋" w:eastAsia="仿宋"/>
          <w:b/>
          <w:bCs w:val="0"/>
          <w:spacing w:val="-4"/>
          <w:sz w:val="32"/>
          <w:szCs w:val="32"/>
          <w:lang w:eastAsia="zh-CN"/>
        </w:rPr>
      </w:pPr>
      <w:r>
        <w:rPr>
          <w:rStyle w:val="19"/>
          <w:rFonts w:hint="eastAsia" w:ascii="仿宋" w:hAnsi="仿宋" w:eastAsia="仿宋"/>
          <w:b/>
          <w:bCs w:val="0"/>
          <w:spacing w:val="-4"/>
          <w:sz w:val="32"/>
          <w:szCs w:val="32"/>
        </w:rPr>
        <w:t>用途和主要内容</w:t>
      </w:r>
      <w:r>
        <w:rPr>
          <w:rStyle w:val="19"/>
          <w:rFonts w:hint="eastAsia" w:ascii="仿宋" w:hAnsi="仿宋" w:eastAsia="仿宋"/>
          <w:b/>
          <w:bCs w:val="0"/>
          <w:spacing w:val="-4"/>
          <w:sz w:val="32"/>
          <w:szCs w:val="32"/>
          <w:lang w:eastAsia="zh-CN"/>
        </w:rPr>
        <w:t>：</w:t>
      </w:r>
    </w:p>
    <w:p>
      <w:pPr>
        <w:spacing w:line="54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喀什经济开发区重要节点生态环境改造工程一期项目，建设总面积340675.19平方米，项目建设规模及主要建设内容：</w:t>
      </w:r>
    </w:p>
    <w:p>
      <w:pPr>
        <w:spacing w:line="54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1、城东大道：纬七路至纬十一路区间段，绿化建设范围为道路两侧绿化带，宽度10-50米不等，全长2.12公里，绿化建设面积103987平方米，项目投资2016万元。</w:t>
      </w:r>
    </w:p>
    <w:p>
      <w:pPr>
        <w:spacing w:line="54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2、深喀大道与瓦普东路节点：绿化建设范围为道路两侧绿化带，宽度5-50米不等，绿化建设面积28669平方米，项目投资474万元。</w:t>
      </w:r>
    </w:p>
    <w:p>
      <w:pPr>
        <w:spacing w:line="54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3、城东大道至经五路区间段：绿化建设范围为深圳城以南20米宽绿化带，长394米，绿化建设面积7352.26平方米，项目投资107万元。</w:t>
      </w:r>
    </w:p>
    <w:p>
      <w:pPr>
        <w:spacing w:line="54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4、空港中路持续绿化加密提升工程：项目区位于喀什深圳产业园，全长1.9公里，在已建设道路两侧0-10米绿化带基础上做持续绿化加密提升，范围为两侧绿化带10-50米不等，绿化建设面积112369平方米，项目投资1088万元。</w:t>
      </w:r>
    </w:p>
    <w:p>
      <w:pPr>
        <w:spacing w:line="54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5、麦喀高速与城东大道节点：绿化建设面积4170平方米,项目投资95万元。</w:t>
      </w:r>
    </w:p>
    <w:p>
      <w:pPr>
        <w:spacing w:line="54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6、中央广场及周边：项目位于深喀大道以南，纬九路以北，经四路以东，城东大道以西，绿化建设面积41113.93平方米,项目投资484万元。</w:t>
      </w:r>
    </w:p>
    <w:p>
      <w:pPr>
        <w:spacing w:line="54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7、深圳城后游园：项目位于纬七路以南，深圳城以北，城东大道以东，经五路以西，绿化建设面积43014平方米,项目投资909万元。</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lang w:val="en-US" w:eastAsia="zh-CN"/>
        </w:rPr>
        <w:t>该项目本年度预算为3000万元，总投资5173万元，2018年该项目因规模，资金投入较大，10月中旬决定采用EPC总承包方式实施，11月中旬发中标通知书，合同价金额50152235.00元，施工单位入场进行场地平整、换填种植土及微地形制作等施工内容，因本年度未签合同，未向施工单位支付资金。资金来源为喀什经济开发区财政资金。</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564" w:firstLineChars="181"/>
        <w:rPr>
          <w:rStyle w:val="19"/>
          <w:rFonts w:hint="default"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2018年11月发放中标通知书，项目采用EPC总承包方式实施，因本年度未签订施工合同，未使用项目资金。</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27" w:firstLineChars="200"/>
        <w:rPr>
          <w:rStyle w:val="19"/>
          <w:rFonts w:hint="eastAsia" w:ascii="仿宋" w:hAnsi="仿宋" w:eastAsia="仿宋"/>
          <w:b w:val="0"/>
          <w:color w:val="FF0000"/>
          <w:spacing w:val="-4"/>
          <w:sz w:val="32"/>
          <w:szCs w:val="32"/>
          <w:lang w:val="en-US" w:eastAsia="zh-CN"/>
        </w:rPr>
      </w:pPr>
      <w:r>
        <w:rPr>
          <w:rStyle w:val="19"/>
          <w:rFonts w:hint="eastAsia" w:ascii="仿宋" w:hAnsi="仿宋" w:eastAsia="仿宋"/>
          <w:b/>
          <w:bCs w:val="0"/>
          <w:spacing w:val="-4"/>
          <w:sz w:val="32"/>
          <w:szCs w:val="32"/>
          <w:lang w:val="en-US" w:eastAsia="zh-CN"/>
        </w:rPr>
        <w:t>管理制度：</w:t>
      </w:r>
      <w:r>
        <w:rPr>
          <w:rStyle w:val="19"/>
          <w:rFonts w:hint="eastAsia" w:ascii="仿宋" w:hAnsi="仿宋" w:eastAsia="仿宋"/>
          <w:b w:val="0"/>
          <w:color w:val="auto"/>
          <w:spacing w:val="-4"/>
          <w:sz w:val="32"/>
          <w:szCs w:val="32"/>
          <w:lang w:val="en-US" w:eastAsia="zh-CN"/>
        </w:rPr>
        <w:t>严格根据流程进行管控。</w:t>
      </w:r>
    </w:p>
    <w:p>
      <w:pPr>
        <w:spacing w:line="540" w:lineRule="exact"/>
        <w:ind w:firstLine="627" w:firstLineChars="200"/>
        <w:rPr>
          <w:rStyle w:val="19"/>
          <w:rFonts w:hint="eastAsia" w:ascii="仿宋" w:hAnsi="仿宋" w:eastAsia="仿宋"/>
          <w:b w:val="0"/>
          <w:color w:val="FF0000"/>
          <w:spacing w:val="-4"/>
          <w:sz w:val="32"/>
          <w:szCs w:val="32"/>
          <w:lang w:val="en-US" w:eastAsia="zh-CN"/>
        </w:rPr>
      </w:pPr>
      <w:r>
        <w:rPr>
          <w:rStyle w:val="19"/>
          <w:rFonts w:hint="eastAsia" w:ascii="楷体" w:hAnsi="楷体" w:eastAsia="楷体"/>
          <w:spacing w:val="-4"/>
          <w:sz w:val="32"/>
          <w:szCs w:val="32"/>
          <w:lang w:val="en-US" w:eastAsia="zh-CN"/>
        </w:rPr>
        <w:t>工作办法：</w:t>
      </w:r>
      <w:r>
        <w:rPr>
          <w:rStyle w:val="19"/>
          <w:rFonts w:hint="eastAsia" w:ascii="仿宋" w:hAnsi="仿宋" w:eastAsia="仿宋"/>
          <w:b w:val="0"/>
          <w:color w:val="auto"/>
          <w:spacing w:val="-4"/>
          <w:sz w:val="32"/>
          <w:szCs w:val="32"/>
          <w:lang w:val="en-US" w:eastAsia="zh-CN"/>
        </w:rPr>
        <w:t>该项目实施过程中由建设方、施工方、监理方三方协调，工程量由三方现场核实共同确定，按照合同约定的条款，每完成一个阶段施工内容，施工单位填写资金申请表，甲方项目负责人确认工程进度与合同约定是否符合要求，上交有关领导签字，并交于财政局上财经会研究，最终结果按财经会的安排执行。</w:t>
      </w:r>
    </w:p>
    <w:p>
      <w:pPr>
        <w:numPr>
          <w:ilvl w:val="0"/>
          <w:numId w:val="0"/>
        </w:numPr>
        <w:spacing w:line="540" w:lineRule="exact"/>
        <w:ind w:firstLine="61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firstLine="564" w:firstLineChars="181"/>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lang w:val="en-US" w:eastAsia="zh-CN"/>
        </w:rPr>
        <w:t>经公开招投标，确定了施工单位福建红珊瑚景观建设有限公司喀什分公司中标承建，监理单位由巴州智诚工程项目管理服务有限公司承监。</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lang w:val="en-US" w:eastAsia="zh-CN"/>
        </w:rPr>
        <w:t>严格监督项目实施过程，规范实施流程，保障项目费用严格用于项目的开展；对项目资金费用使用情况严格监督，资金预算制定严格按照既定规范与财务标准，费用根据审计结算予以支付。</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9"/>
          <w:rFonts w:hint="eastAsia" w:ascii="仿宋" w:hAnsi="仿宋" w:eastAsia="仿宋"/>
          <w:b w:val="0"/>
          <w:bCs/>
          <w:color w:val="auto"/>
          <w:spacing w:val="-4"/>
          <w:sz w:val="32"/>
          <w:szCs w:val="32"/>
          <w:highlight w:val="none"/>
          <w:lang w:val="en-US" w:eastAsia="zh-CN"/>
        </w:rPr>
      </w:pPr>
      <w:r>
        <w:rPr>
          <w:rStyle w:val="19"/>
          <w:rFonts w:hint="eastAsia" w:ascii="仿宋" w:hAnsi="仿宋" w:eastAsia="仿宋"/>
          <w:b w:val="0"/>
          <w:bCs/>
          <w:color w:val="auto"/>
          <w:spacing w:val="-4"/>
          <w:sz w:val="32"/>
          <w:szCs w:val="32"/>
          <w:highlight w:val="none"/>
          <w:lang w:val="en-US" w:eastAsia="zh-CN"/>
        </w:rPr>
        <w:t>该项目本年度绩效目标内容包括：确定招标代理机构、完成招投标程序、研究总承包方提交的项目方案及签订施工合同，完成所有节点的换填种植土及微地形施工内容。</w:t>
      </w:r>
    </w:p>
    <w:p>
      <w:pPr>
        <w:spacing w:line="540" w:lineRule="exact"/>
        <w:ind w:firstLine="564" w:firstLineChars="181"/>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bCs/>
          <w:color w:val="auto"/>
          <w:spacing w:val="-4"/>
          <w:sz w:val="32"/>
          <w:szCs w:val="32"/>
          <w:highlight w:val="none"/>
          <w:lang w:val="en-US" w:eastAsia="zh-CN"/>
        </w:rPr>
        <w:t>本年度绩效目标完全情况：本年度确定了招标代理机构并顺利完成招投标程序，向中标单位发放了中标通知书，研究了施工单位提交的初步方案并安排出施工图，</w:t>
      </w:r>
      <w:r>
        <w:rPr>
          <w:rStyle w:val="19"/>
          <w:rFonts w:hint="eastAsia" w:ascii="仿宋" w:hAnsi="仿宋" w:eastAsia="仿宋"/>
          <w:b w:val="0"/>
          <w:color w:val="auto"/>
          <w:spacing w:val="-4"/>
          <w:sz w:val="32"/>
          <w:szCs w:val="32"/>
          <w:lang w:val="en-US" w:eastAsia="zh-CN"/>
        </w:rPr>
        <w:t>城东大道节点、深喀大道与瓦普东路节点、城东大道至经五路区间段、麦喀高速与城东大道节点、中央广场及周边节点、深圳城后游园节点等完成了换填种植土及微地形施工。</w:t>
      </w:r>
    </w:p>
    <w:p>
      <w:pPr>
        <w:spacing w:line="540" w:lineRule="exact"/>
        <w:ind w:firstLine="564" w:firstLineChars="181"/>
        <w:rPr>
          <w:rStyle w:val="19"/>
          <w:rFonts w:hint="default" w:ascii="仿宋" w:hAnsi="仿宋" w:eastAsia="仿宋"/>
          <w:b w:val="0"/>
          <w:color w:val="auto"/>
          <w:spacing w:val="-4"/>
          <w:sz w:val="32"/>
          <w:szCs w:val="32"/>
          <w:lang w:val="en-US" w:eastAsia="zh-CN"/>
        </w:rPr>
      </w:pPr>
      <w:r>
        <w:rPr>
          <w:rStyle w:val="19"/>
          <w:rFonts w:hint="eastAsia" w:ascii="仿宋" w:hAnsi="仿宋" w:eastAsia="仿宋"/>
          <w:b w:val="0"/>
          <w:bCs/>
          <w:color w:val="auto"/>
          <w:spacing w:val="-4"/>
          <w:sz w:val="32"/>
          <w:szCs w:val="32"/>
          <w:highlight w:val="none"/>
          <w:lang w:val="en-US" w:eastAsia="zh-CN"/>
        </w:rPr>
        <w:t>本年度绩效目标未完成情况：施工合同未签订，</w:t>
      </w:r>
      <w:r>
        <w:rPr>
          <w:rStyle w:val="19"/>
          <w:rFonts w:hint="eastAsia" w:ascii="仿宋" w:hAnsi="仿宋" w:eastAsia="仿宋"/>
          <w:b w:val="0"/>
          <w:color w:val="auto"/>
          <w:spacing w:val="-4"/>
          <w:sz w:val="32"/>
          <w:szCs w:val="32"/>
          <w:lang w:val="en-US" w:eastAsia="zh-CN"/>
        </w:rPr>
        <w:t>空港中路持续绿化加密提升工程节点种植土换填及微地形施工内容未完成。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Style w:val="19"/>
          <w:rFonts w:hint="eastAsia" w:ascii="黑体" w:hAnsi="黑体" w:eastAsia="黑体"/>
          <w:b w:val="0"/>
          <w:spacing w:val="-4"/>
          <w:sz w:val="32"/>
          <w:szCs w:val="32"/>
        </w:rPr>
      </w:pPr>
      <w:r>
        <w:rPr>
          <w:rStyle w:val="19"/>
          <w:rFonts w:hint="eastAsia" w:ascii="仿宋" w:hAnsi="仿宋" w:eastAsia="仿宋"/>
          <w:b w:val="0"/>
          <w:bCs/>
          <w:color w:val="auto"/>
          <w:spacing w:val="-4"/>
          <w:sz w:val="32"/>
          <w:szCs w:val="32"/>
          <w:highlight w:val="none"/>
          <w:lang w:val="en-US" w:eastAsia="zh-CN"/>
        </w:rPr>
        <w:t>本年度因EPC总承包合同内容较复杂，牵涉的内容较多，预算评审环节期限较长等原因未签订施工合同；</w:t>
      </w:r>
      <w:r>
        <w:rPr>
          <w:rStyle w:val="19"/>
          <w:rFonts w:hint="eastAsia" w:ascii="仿宋" w:hAnsi="仿宋" w:eastAsia="仿宋"/>
          <w:b w:val="0"/>
          <w:color w:val="auto"/>
          <w:spacing w:val="-4"/>
          <w:sz w:val="32"/>
          <w:szCs w:val="32"/>
          <w:lang w:val="en-US" w:eastAsia="zh-CN"/>
        </w:rPr>
        <w:t>空港中路持续绿化加密提升工程节点原地形较复杂，并有较多的建筑垃圾，因此换填种植土及微地形施工内容未完成。</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spacing w:val="-4"/>
          <w:sz w:val="32"/>
          <w:szCs w:val="32"/>
          <w:lang w:eastAsia="zh-CN"/>
        </w:rPr>
      </w:pPr>
      <w:r>
        <w:rPr>
          <w:rStyle w:val="19"/>
          <w:rFonts w:hint="eastAsia" w:ascii="仿宋" w:hAnsi="仿宋" w:eastAsia="仿宋"/>
          <w:b w:val="0"/>
          <w:spacing w:val="-4"/>
          <w:sz w:val="32"/>
          <w:szCs w:val="32"/>
          <w:lang w:val="en-US" w:eastAsia="zh-CN"/>
        </w:rPr>
        <w:t>该项目2019年续建，完成合同约定的所有施工内容并进入养护期，保证项目实际开展工作的可行性与长远性，保证长期利益。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9"/>
          <w:rFonts w:hint="eastAsia" w:ascii="仿宋" w:hAnsi="仿宋" w:eastAsia="仿宋"/>
          <w:b w:val="0"/>
          <w:spacing w:val="-4"/>
          <w:sz w:val="32"/>
          <w:szCs w:val="32"/>
          <w:lang w:val="en-US" w:eastAsia="zh-CN"/>
        </w:rPr>
      </w:pPr>
      <w:r>
        <w:rPr>
          <w:rStyle w:val="19"/>
          <w:rFonts w:hint="eastAsia" w:ascii="仿宋" w:hAnsi="仿宋" w:eastAsia="仿宋"/>
          <w:b w:val="0"/>
          <w:spacing w:val="-4"/>
          <w:sz w:val="32"/>
          <w:szCs w:val="32"/>
          <w:lang w:val="en-US" w:eastAsia="zh-CN"/>
        </w:rPr>
        <w:t>建立完善的项目开展报备、评估、审批制度；事先明确项目具体方案，制定项目预实现目标；保证项目完成后期工作的持续推动，关注项目后期影响；确保项目实施流程的可监督与公开透明。</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spacing w:line="540" w:lineRule="exact"/>
        <w:ind w:firstLine="564" w:firstLineChars="181"/>
        <w:rPr>
          <w:rStyle w:val="19"/>
          <w:rFonts w:hint="eastAsia" w:ascii="仿宋" w:hAnsi="仿宋" w:eastAsia="仿宋"/>
          <w:b w:val="0"/>
          <w:spacing w:val="-4"/>
          <w:sz w:val="32"/>
          <w:szCs w:val="32"/>
          <w:lang w:val="en-US" w:eastAsia="zh-CN"/>
        </w:rPr>
      </w:pPr>
      <w:r>
        <w:rPr>
          <w:rStyle w:val="19"/>
          <w:rFonts w:hint="eastAsia" w:ascii="仿宋" w:hAnsi="仿宋" w:eastAsia="仿宋"/>
          <w:b w:val="0"/>
          <w:spacing w:val="-4"/>
          <w:sz w:val="32"/>
          <w:szCs w:val="32"/>
          <w:lang w:val="en-US" w:eastAsia="zh-CN"/>
        </w:rPr>
        <w:t>以上数据来源于部门2018年度预算，严格按照喀什市政府投资项目申报要求、喀什本级财政投资项目的审批办法、喀什政府投资项目资金管理暂行办法等条文实施确保项目实施流程的可监督与公开透明。</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《自治区财政项目支出绩效自评表》</w:t>
      </w:r>
    </w:p>
    <w:p>
      <w:pPr>
        <w:spacing w:line="540" w:lineRule="exact"/>
        <w:rPr>
          <w:rStyle w:val="19"/>
          <w:rFonts w:hint="default" w:asciiTheme="minorEastAsia" w:hAnsiTheme="minorEastAsia" w:eastAsiaTheme="minorEastAsia"/>
          <w:b w:val="0"/>
          <w:spacing w:val="-4"/>
          <w:sz w:val="20"/>
          <w:szCs w:val="32"/>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C068C"/>
    <w:rsid w:val="00DF42A0"/>
    <w:rsid w:val="00E769FE"/>
    <w:rsid w:val="00EA2CBE"/>
    <w:rsid w:val="00F32FEE"/>
    <w:rsid w:val="00FB10BB"/>
    <w:rsid w:val="043C43A9"/>
    <w:rsid w:val="0C6F1D0F"/>
    <w:rsid w:val="0CBC2F73"/>
    <w:rsid w:val="0D934B54"/>
    <w:rsid w:val="13D4477B"/>
    <w:rsid w:val="14B4043D"/>
    <w:rsid w:val="15B33619"/>
    <w:rsid w:val="179A095A"/>
    <w:rsid w:val="180922DA"/>
    <w:rsid w:val="1857571C"/>
    <w:rsid w:val="1B903A91"/>
    <w:rsid w:val="1B9F2176"/>
    <w:rsid w:val="1D3E012E"/>
    <w:rsid w:val="1E0016AB"/>
    <w:rsid w:val="1E8830BD"/>
    <w:rsid w:val="1FAD70CE"/>
    <w:rsid w:val="21D85374"/>
    <w:rsid w:val="22CB4CAE"/>
    <w:rsid w:val="23307145"/>
    <w:rsid w:val="252D7BB2"/>
    <w:rsid w:val="25735FA7"/>
    <w:rsid w:val="25E5676A"/>
    <w:rsid w:val="26962775"/>
    <w:rsid w:val="28E16D3B"/>
    <w:rsid w:val="296F7586"/>
    <w:rsid w:val="2D643A8B"/>
    <w:rsid w:val="2DA953E8"/>
    <w:rsid w:val="2FF542FB"/>
    <w:rsid w:val="32DE50CB"/>
    <w:rsid w:val="32E317DA"/>
    <w:rsid w:val="33BD1D07"/>
    <w:rsid w:val="34667A19"/>
    <w:rsid w:val="34DE683E"/>
    <w:rsid w:val="3647472D"/>
    <w:rsid w:val="37633546"/>
    <w:rsid w:val="38874ED6"/>
    <w:rsid w:val="3E4F0EFD"/>
    <w:rsid w:val="3EC44ECA"/>
    <w:rsid w:val="3EEA1515"/>
    <w:rsid w:val="43FB3E10"/>
    <w:rsid w:val="44445C48"/>
    <w:rsid w:val="47DC02AC"/>
    <w:rsid w:val="48DF3893"/>
    <w:rsid w:val="49E65B25"/>
    <w:rsid w:val="4B3E2D16"/>
    <w:rsid w:val="4BDC5832"/>
    <w:rsid w:val="4CD87A19"/>
    <w:rsid w:val="4F287995"/>
    <w:rsid w:val="503259C3"/>
    <w:rsid w:val="50D32E86"/>
    <w:rsid w:val="522110AC"/>
    <w:rsid w:val="53E937BD"/>
    <w:rsid w:val="547E3A28"/>
    <w:rsid w:val="5A196B9B"/>
    <w:rsid w:val="5B6A2758"/>
    <w:rsid w:val="5C752C74"/>
    <w:rsid w:val="5DD94F3A"/>
    <w:rsid w:val="61AD0446"/>
    <w:rsid w:val="638C56F8"/>
    <w:rsid w:val="64DE1D99"/>
    <w:rsid w:val="663B577A"/>
    <w:rsid w:val="672B7F2B"/>
    <w:rsid w:val="67645428"/>
    <w:rsid w:val="68AA7F84"/>
    <w:rsid w:val="6A5F6FA1"/>
    <w:rsid w:val="6A8F563A"/>
    <w:rsid w:val="6C796BF4"/>
    <w:rsid w:val="6DD169D5"/>
    <w:rsid w:val="6E4F5F0D"/>
    <w:rsid w:val="6FAE2795"/>
    <w:rsid w:val="71B60767"/>
    <w:rsid w:val="71CD415B"/>
    <w:rsid w:val="77070458"/>
    <w:rsid w:val="773A2058"/>
    <w:rsid w:val="79F37492"/>
    <w:rsid w:val="7BEC4DFF"/>
    <w:rsid w:val="7E067F6D"/>
    <w:rsid w:val="7EDB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qFormat/>
    <w:uiPriority w:val="0"/>
    <w:pPr>
      <w:widowControl w:val="0"/>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9</TotalTime>
  <ScaleCrop>false</ScaleCrop>
  <LinksUpToDate>false</LinksUpToDate>
  <CharactersWithSpaces>1477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怑城煙^@@^唦</cp:lastModifiedBy>
  <cp:lastPrinted>2019-03-10T06:21:00Z</cp:lastPrinted>
  <dcterms:modified xsi:type="dcterms:W3CDTF">2019-08-26T09:11:30Z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