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bookmarkStart w:id="92" w:name="_GoBack"/>
      <w:bookmarkEnd w:id="92"/>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2018年度新疆喀什特区招商中心部门决算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组织并参与开发区、喀什市、中亚南亚工业园区的重大招商活动，政策咨询和项目洽谈，重大客商的联络与跟踪；组织有关单位参加各种经贸洽谈会和招商考察活动，引进项目的跟踪服务工作。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新疆喀什特区招商中心</w:t>
      </w:r>
      <w:r>
        <w:rPr>
          <w:rFonts w:hint="eastAsia" w:ascii="仿宋_GB2312" w:eastAsia="仿宋_GB2312"/>
          <w:sz w:val="32"/>
          <w:szCs w:val="32"/>
        </w:rPr>
        <w:t>部门决算包括：</w:t>
      </w:r>
      <w:r>
        <w:rPr>
          <w:rFonts w:ascii="仿宋_GB2312" w:eastAsia="仿宋_GB2312"/>
          <w:sz w:val="32"/>
          <w:szCs w:val="32"/>
        </w:rPr>
        <w:t>新疆喀什特区招商中心</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新疆喀什特区招商中心</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新疆喀什特区招商中心</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186.1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186.1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hint="eastAsia" w:ascii="仿宋_GB2312" w:eastAsia="仿宋_GB2312"/>
          <w:color w:val="000000" w:themeColor="text1"/>
          <w:sz w:val="32"/>
          <w:szCs w:val="32"/>
        </w:rPr>
        <w:t>新增单位，无上年对比数据；</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无变化。</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186.1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147.94</w:t>
      </w:r>
      <w:r>
        <w:rPr>
          <w:rFonts w:hint="eastAsia" w:ascii="仿宋_GB2312" w:eastAsia="仿宋_GB2312"/>
          <w:color w:val="000000" w:themeColor="text1"/>
          <w:sz w:val="32"/>
          <w:szCs w:val="32"/>
        </w:rPr>
        <w:t>万元，占</w:t>
      </w:r>
      <w:r>
        <w:rPr>
          <w:rFonts w:hint="eastAsia" w:ascii="仿宋_GB2312" w:eastAsia="仿宋_GB2312"/>
          <w:sz w:val="32"/>
          <w:szCs w:val="32"/>
        </w:rPr>
        <w:t>79.49%</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38.16</w:t>
      </w:r>
      <w:r>
        <w:rPr>
          <w:rFonts w:hint="eastAsia" w:ascii="仿宋_GB2312" w:eastAsia="仿宋_GB2312"/>
          <w:color w:val="000000" w:themeColor="text1"/>
          <w:sz w:val="32"/>
          <w:szCs w:val="32"/>
        </w:rPr>
        <w:t>万元，占</w:t>
      </w:r>
      <w:r>
        <w:rPr>
          <w:rFonts w:hint="eastAsia" w:ascii="仿宋_GB2312" w:eastAsia="仿宋_GB2312"/>
          <w:sz w:val="32"/>
          <w:szCs w:val="32"/>
        </w:rPr>
        <w:t>20.51%</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况：本年收入年初预算数204.29万元</w:t>
      </w:r>
      <w:r>
        <w:rPr>
          <w:rFonts w:hint="eastAsia" w:ascii="仿宋_GB2312" w:eastAsia="仿宋_GB2312"/>
          <w:sz w:val="32"/>
          <w:szCs w:val="32"/>
        </w:rPr>
        <w:t>，决算数186.1万元</w:t>
      </w:r>
      <w:r>
        <w:rPr>
          <w:rFonts w:ascii="仿宋_GB2312" w:eastAsia="仿宋_GB2312"/>
          <w:sz w:val="32"/>
          <w:szCs w:val="32"/>
        </w:rPr>
        <w:t>，预决算差异率-8.9%，差异主要原因是:新增单位，无上年对比数据。</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186.1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119.68</w:t>
      </w:r>
      <w:r>
        <w:rPr>
          <w:rFonts w:hint="eastAsia" w:ascii="仿宋_GB2312" w:eastAsia="仿宋_GB2312"/>
          <w:color w:val="000000" w:themeColor="text1"/>
          <w:sz w:val="32"/>
          <w:szCs w:val="32"/>
        </w:rPr>
        <w:t>万元，占</w:t>
      </w:r>
      <w:r>
        <w:rPr>
          <w:rFonts w:hint="eastAsia" w:ascii="仿宋_GB2312" w:eastAsia="仿宋_GB2312"/>
          <w:sz w:val="32"/>
          <w:szCs w:val="32"/>
        </w:rPr>
        <w:t>64.31%</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66.42</w:t>
      </w:r>
      <w:r>
        <w:rPr>
          <w:rFonts w:hint="eastAsia" w:ascii="仿宋_GB2312" w:eastAsia="仿宋_GB2312"/>
          <w:color w:val="000000" w:themeColor="text1"/>
          <w:sz w:val="32"/>
          <w:szCs w:val="32"/>
        </w:rPr>
        <w:t>万元，占</w:t>
      </w:r>
      <w:r>
        <w:rPr>
          <w:rFonts w:hint="eastAsia" w:ascii="仿宋_GB2312" w:eastAsia="仿宋_GB2312"/>
          <w:sz w:val="32"/>
          <w:szCs w:val="32"/>
        </w:rPr>
        <w:t>35.69%</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与年初预算数相比情况：本年支出年初预算数204.29万元，</w:t>
      </w:r>
      <w:r>
        <w:rPr>
          <w:rFonts w:hint="eastAsia" w:ascii="仿宋_GB2312" w:eastAsia="仿宋_GB2312"/>
          <w:sz w:val="32"/>
          <w:szCs w:val="32"/>
        </w:rPr>
        <w:t>决算数186.1万元</w:t>
      </w:r>
      <w:r>
        <w:rPr>
          <w:rFonts w:ascii="仿宋_GB2312" w:eastAsia="仿宋_GB2312"/>
          <w:sz w:val="32"/>
          <w:szCs w:val="32"/>
        </w:rPr>
        <w:t>，预决算差异率-8.9%，差异主要原因是:部分项目未实施。</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147.94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147.94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sz w:val="32"/>
          <w:szCs w:val="32"/>
        </w:rPr>
        <w:t>新增单位，无上年对比数据。</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119.68</w:t>
      </w:r>
      <w:r>
        <w:rPr>
          <w:rFonts w:hint="eastAsia" w:ascii="仿宋_GB2312" w:eastAsia="仿宋_GB2312"/>
          <w:color w:val="000000" w:themeColor="text1"/>
          <w:sz w:val="32"/>
          <w:szCs w:val="32"/>
        </w:rPr>
        <w:t>万元，项目支出</w:t>
      </w:r>
      <w:r>
        <w:rPr>
          <w:rFonts w:hint="eastAsia" w:ascii="仿宋_GB2312" w:eastAsia="仿宋_GB2312"/>
          <w:sz w:val="32"/>
          <w:szCs w:val="32"/>
        </w:rPr>
        <w:t>28.27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，与上年相比增加0万元，增长0%，主要原因是：无变化。</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204.29</w:t>
      </w:r>
      <w:r>
        <w:rPr>
          <w:rFonts w:hint="eastAsia" w:ascii="仿宋_GB2312" w:eastAsia="仿宋_GB2312"/>
          <w:color w:val="000000" w:themeColor="text1"/>
          <w:sz w:val="32"/>
          <w:szCs w:val="32"/>
        </w:rPr>
        <w:t>万元，决算数</w:t>
      </w:r>
      <w:r>
        <w:rPr>
          <w:rFonts w:hint="eastAsia" w:ascii="仿宋_GB2312" w:eastAsia="仿宋_GB2312"/>
          <w:sz w:val="32"/>
          <w:szCs w:val="32"/>
        </w:rPr>
        <w:t>147.94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，预决算差异率-27.58%，差异主要原因是:新增单位，无上年对比数据。</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204.29</w:t>
      </w:r>
      <w:r>
        <w:rPr>
          <w:rFonts w:hint="eastAsia" w:ascii="仿宋_GB2312" w:eastAsia="仿宋_GB2312"/>
          <w:color w:val="000000" w:themeColor="text1"/>
          <w:sz w:val="32"/>
          <w:szCs w:val="32"/>
        </w:rPr>
        <w:t>万元，决算数</w:t>
      </w:r>
      <w:r>
        <w:rPr>
          <w:rFonts w:hint="eastAsia" w:ascii="仿宋_GB2312" w:eastAsia="仿宋_GB2312"/>
          <w:sz w:val="32"/>
          <w:szCs w:val="32"/>
        </w:rPr>
        <w:t>147.94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，预决算差异率-27.58%，差异主要原因是:部分项目未实施。</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147.94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，与上年相比增加0万元，增长0%，主要原因是：新增单位，无上年对比数据。</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147.94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，与上年相比增加0万元，增长0%，主要原因是：新增单位，无上年对比数据。</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住房保障支出6.96万元,一般公共服务支出129.13万元,其他支出1.44万元,社会保障和就业支出10.42万元。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工资福利支出102.36万元,商品和服务支出45.58万元。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204.29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147.94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，预决算差异率-27.58%，差异主要原因是:部分项目未实施。</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204.29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147.94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，预决算差异率-27.58%，差异主要原因是:部分项目未实施。</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，与上年相比增加0万元，增长0%，主要原因是：无政府性基金支出。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10.2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，与上年相比增加0万元，增长0%，主要原因是：新增单位，无上年对比数据。</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7.24</w:t>
      </w:r>
      <w:r>
        <w:rPr>
          <w:rFonts w:hint="eastAsia" w:ascii="仿宋_GB2312" w:eastAsia="仿宋_GB2312"/>
          <w:color w:val="000000" w:themeColor="text1"/>
          <w:sz w:val="32"/>
          <w:szCs w:val="32"/>
        </w:rPr>
        <w:t>万元，占</w:t>
      </w:r>
      <w:r>
        <w:rPr>
          <w:rFonts w:hint="eastAsia" w:ascii="仿宋_GB2312" w:eastAsia="仿宋_GB2312"/>
          <w:sz w:val="32"/>
          <w:szCs w:val="32"/>
        </w:rPr>
        <w:t>70.98%，与上年相比增加0万元，增长0%，主要原因是：新增单位，无上年对比数据；</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2.95</w:t>
      </w:r>
      <w:r>
        <w:rPr>
          <w:rFonts w:hint="eastAsia" w:ascii="仿宋_GB2312" w:eastAsia="仿宋_GB2312"/>
          <w:color w:val="000000" w:themeColor="text1"/>
          <w:sz w:val="32"/>
          <w:szCs w:val="32"/>
        </w:rPr>
        <w:t>万元，占</w:t>
      </w:r>
      <w:r>
        <w:rPr>
          <w:rFonts w:hint="eastAsia" w:ascii="仿宋_GB2312" w:eastAsia="仿宋_GB2312"/>
          <w:sz w:val="32"/>
          <w:szCs w:val="32"/>
        </w:rPr>
        <w:t>28.92%，与上年相比增加0万元，增长0%，主要原因是：新增单位，无上年对比数据。</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新疆喀什特区招商中心</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7.24</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7.24</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人员的日常公务用车</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2.95</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2.95</w:t>
      </w:r>
      <w:r>
        <w:rPr>
          <w:rFonts w:hint="eastAsia" w:ascii="仿宋_GB2312" w:eastAsia="仿宋_GB2312"/>
          <w:color w:val="000000" w:themeColor="text1"/>
          <w:sz w:val="32"/>
          <w:szCs w:val="32"/>
        </w:rPr>
        <w:t>万元，主要是</w:t>
      </w:r>
      <w:r>
        <w:rPr>
          <w:rFonts w:hint="eastAsia" w:ascii="仿宋_GB2312" w:eastAsia="仿宋_GB2312"/>
          <w:sz w:val="32"/>
          <w:szCs w:val="32"/>
        </w:rPr>
        <w:t>接待客商所支付的工作餐费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新疆喀什特区招商中心</w:t>
      </w:r>
      <w:r>
        <w:rPr>
          <w:rFonts w:hint="eastAsia" w:ascii="仿宋_GB2312" w:eastAsia="仿宋_GB2312"/>
          <w:color w:val="000000" w:themeColor="text1"/>
          <w:sz w:val="32"/>
          <w:szCs w:val="32"/>
        </w:rPr>
        <w:t>单位国内公务接待</w:t>
      </w:r>
      <w:r>
        <w:rPr>
          <w:rFonts w:hint="eastAsia" w:ascii="仿宋_GB2312" w:eastAsia="仿宋_GB2312"/>
          <w:sz w:val="32"/>
          <w:szCs w:val="32"/>
        </w:rPr>
        <w:t>8</w:t>
      </w:r>
      <w:r>
        <w:rPr>
          <w:rFonts w:hint="eastAsia" w:ascii="仿宋_GB2312" w:eastAsia="仿宋_GB2312"/>
          <w:color w:val="000000" w:themeColor="text1"/>
          <w:sz w:val="32"/>
          <w:szCs w:val="32"/>
        </w:rPr>
        <w:t>批次，</w:t>
      </w:r>
      <w:r>
        <w:rPr>
          <w:rFonts w:hint="eastAsia" w:ascii="仿宋_GB2312" w:eastAsia="仿宋_GB2312"/>
          <w:sz w:val="32"/>
          <w:szCs w:val="32"/>
        </w:rPr>
        <w:t>165</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10.2</w:t>
      </w:r>
      <w:r>
        <w:rPr>
          <w:rFonts w:hint="eastAsia" w:ascii="仿宋_GB2312" w:eastAsia="仿宋_GB2312"/>
          <w:color w:val="000000" w:themeColor="text1"/>
          <w:sz w:val="32"/>
          <w:szCs w:val="32"/>
        </w:rPr>
        <w:t>万元，决算数10.2万元</w:t>
      </w:r>
      <w:r>
        <w:rPr>
          <w:rFonts w:ascii="仿宋_GB2312" w:eastAsia="仿宋_GB2312"/>
          <w:color w:val="000000" w:themeColor="text1"/>
          <w:sz w:val="32"/>
          <w:szCs w:val="32"/>
        </w:rPr>
        <w:t>，预决算差异率0%，差异主要原因是:无差异。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，预决算差异率0%，差异主要原因是:无差异；</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7.24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7.24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2.95</w:t>
      </w:r>
      <w:r>
        <w:rPr>
          <w:rFonts w:hint="eastAsia" w:ascii="仿宋_GB2312" w:eastAsia="仿宋_GB2312"/>
          <w:color w:val="000000" w:themeColor="text1"/>
          <w:sz w:val="32"/>
          <w:szCs w:val="32"/>
        </w:rPr>
        <w:t>万元，决算数2.95万元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无差异。</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新疆喀什特区招商中心日常公用经费17.32万元，与上年相比增加0万元，增长0%，主要原因是：新增单位，无上年对比数据。</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211.89</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211.89</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85.64</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用于招商中心日常的公务用车；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自开预算绩效管理和绩效目标工作以来，我单位领导高度重视此项工作，并给予了大力支持，本单位在一些制度建设方面有些欠缺，有待于进一步提高和完善。绩效目标工作方面，我单位按照财政部门的相关要求积极及时上报绩效目标表及</w:t>
      </w:r>
      <w:r>
        <w:rPr>
          <w:rFonts w:hint="eastAsia" w:ascii="仿宋_GB2312" w:eastAsia="仿宋_GB2312"/>
          <w:sz w:val="32"/>
          <w:szCs w:val="32"/>
          <w:lang w:eastAsia="zh-CN"/>
        </w:rPr>
        <w:t>跟踪</w:t>
      </w:r>
      <w:r>
        <w:rPr>
          <w:rFonts w:ascii="仿宋_GB2312" w:eastAsia="仿宋_GB2312"/>
          <w:sz w:val="32"/>
          <w:szCs w:val="32"/>
        </w:rPr>
        <w:t>表，通过此项工作本单位的资金使用效益和使用质量明显提高了。</w:t>
      </w:r>
    </w:p>
    <w:p>
      <w:pPr>
        <w:spacing w:line="540" w:lineRule="exact"/>
        <w:ind w:right="-1" w:firstLine="640" w:firstLineChars="200"/>
        <w:jc w:val="left"/>
      </w:pPr>
      <w:r>
        <w:rPr>
          <w:rFonts w:ascii="仿宋_GB2312" w:hAnsi="仿宋_GB2312" w:eastAsia="仿宋_GB2312" w:cs="仿宋_GB2312"/>
          <w:color w:val="000000"/>
          <w:sz w:val="32"/>
        </w:rPr>
        <w:t xml:space="preserve">1、干部补助项目绩效自评综述：根据年初设定的绩效目标，该项目绩效自评得分为90分。项目全年预算数为1.44万元，执行数为1.44万元，完成预算的100%。主要产出和效果：对扶贫做出贡献。发现的问题及原因：不存在问题及原因分析。下一步改进措施： 无建议。  </w:t>
      </w:r>
    </w:p>
    <w:p>
      <w:pPr>
        <w:spacing w:line="540" w:lineRule="exact"/>
        <w:ind w:right="-1" w:firstLine="640" w:firstLineChars="200"/>
        <w:jc w:val="left"/>
      </w:pPr>
      <w:r>
        <w:rPr>
          <w:rFonts w:ascii="仿宋_GB2312" w:hAnsi="仿宋_GB2312" w:eastAsia="仿宋_GB2312" w:cs="仿宋_GB2312"/>
          <w:color w:val="000000"/>
          <w:sz w:val="32"/>
        </w:rPr>
        <w:t xml:space="preserve">2、招商引资专项经费项目绩效自评综述：根据年初设定的绩效目标，该项目绩效自评得分为86.2分。项目全年预算数为108.16万元，执行数为64.99万元，完成预算的60.09%。主要产出和效果：吸引百余家企业公司、公司代表赴喀考察调研，了解当地政策，投资环境。发现的问题及原因：招商成绩与实际收入回报难成正比，难以充分激发干部的积极性。下一步改进措施： 结合干部的招商引资成绩，合理提出招商引资工作提成奖励办法。  </w:t>
      </w:r>
    </w:p>
    <w:p>
      <w:pPr>
        <w:spacing w:line="540" w:lineRule="exact"/>
        <w:ind w:right="-1" w:firstLine="640" w:firstLineChars="200"/>
        <w:jc w:val="left"/>
      </w:pPr>
      <w:r>
        <w:rPr>
          <w:rFonts w:ascii="仿宋_GB2312" w:hAnsi="仿宋_GB2312" w:eastAsia="仿宋_GB2312" w:cs="仿宋_GB2312"/>
          <w:color w:val="000000"/>
          <w:sz w:val="32"/>
        </w:rPr>
        <w:t xml:space="preserve">3、行业资料费项目绩效自评综述：根据年初设定的绩效目标，该项目绩效自评得分为76分。项目全年预算数为2万元，执行数为0万元，完成预算的0%。主要产出和效果：大幅提升干部业务水平，丰富经验，掌握招商技巧，切实运用在实际招商引资过程中 阶段性目标：促进部门单位干部不断充实自我，提升业务水平。发现的问题及原因：本单位2018年度，未开展该项目，没有建立与该项目的开展所匹配的工作办法及实施流程。下一步改进措施： 逐步取消该项目，今后相关学习期刊、资料的购买，由本部门的上级单位统一协调。  </w:t>
      </w:r>
    </w:p>
    <w:p>
      <w:pPr>
        <w:spacing w:line="540" w:lineRule="exact"/>
        <w:ind w:firstLine="640" w:firstLineChars="200"/>
        <w:rPr>
          <w:rFonts w:ascii="仿宋_GB2312" w:eastAsia="仿宋_GB2312"/>
          <w:sz w:val="32"/>
          <w:szCs w:val="32"/>
        </w:rPr>
      </w:pPr>
      <w:r>
        <w:rPr>
          <w:rFonts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13（款）08（项）指：招商引资。221（类）02（款）01（项）指：住房公积金。201（类）13（款）50（项）指：事业运行。229（类）99（款）01（项）指：其他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- 10 -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comments" w:enforcement="1" w:cryptProviderType="rsaFull" w:cryptAlgorithmClass="hash" w:cryptAlgorithmType="typeAny" w:cryptAlgorithmSid="4" w:cryptSpinCount="0" w:hash="X3CnBdFPlF3T5uOxtZvn8kFTilw=" w:salt="Oeh4f2w578dh46TNyJyhg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15A64"/>
    <w:rsid w:val="0002118A"/>
    <w:rsid w:val="00021887"/>
    <w:rsid w:val="00022242"/>
    <w:rsid w:val="00023F6E"/>
    <w:rsid w:val="0002523E"/>
    <w:rsid w:val="00025DC3"/>
    <w:rsid w:val="00040E57"/>
    <w:rsid w:val="00044097"/>
    <w:rsid w:val="00050D54"/>
    <w:rsid w:val="00050E1F"/>
    <w:rsid w:val="00054305"/>
    <w:rsid w:val="0005566C"/>
    <w:rsid w:val="00060E28"/>
    <w:rsid w:val="0006121E"/>
    <w:rsid w:val="000635BD"/>
    <w:rsid w:val="00065838"/>
    <w:rsid w:val="000711BA"/>
    <w:rsid w:val="00080DEB"/>
    <w:rsid w:val="00083BBE"/>
    <w:rsid w:val="00083EBE"/>
    <w:rsid w:val="00091B9F"/>
    <w:rsid w:val="0009640E"/>
    <w:rsid w:val="000A2EE8"/>
    <w:rsid w:val="000A497E"/>
    <w:rsid w:val="000A7155"/>
    <w:rsid w:val="000A7773"/>
    <w:rsid w:val="000B08C5"/>
    <w:rsid w:val="000B206D"/>
    <w:rsid w:val="000B2C8D"/>
    <w:rsid w:val="000B6AD4"/>
    <w:rsid w:val="000B6C14"/>
    <w:rsid w:val="000B7C75"/>
    <w:rsid w:val="000C0190"/>
    <w:rsid w:val="000C1474"/>
    <w:rsid w:val="000C7811"/>
    <w:rsid w:val="000D21F9"/>
    <w:rsid w:val="000E0AB3"/>
    <w:rsid w:val="000E21E6"/>
    <w:rsid w:val="000E65F1"/>
    <w:rsid w:val="000E73E7"/>
    <w:rsid w:val="000E75AE"/>
    <w:rsid w:val="000F1279"/>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5321"/>
    <w:rsid w:val="00157F86"/>
    <w:rsid w:val="00163D9F"/>
    <w:rsid w:val="00164EBC"/>
    <w:rsid w:val="001669CC"/>
    <w:rsid w:val="00166DAB"/>
    <w:rsid w:val="00166E4B"/>
    <w:rsid w:val="00167DB8"/>
    <w:rsid w:val="00170C1A"/>
    <w:rsid w:val="00171B68"/>
    <w:rsid w:val="00173DD7"/>
    <w:rsid w:val="001759CB"/>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4F2D"/>
    <w:rsid w:val="001C79E0"/>
    <w:rsid w:val="001D54E6"/>
    <w:rsid w:val="001D640A"/>
    <w:rsid w:val="001D65CB"/>
    <w:rsid w:val="001E197A"/>
    <w:rsid w:val="001E2962"/>
    <w:rsid w:val="001E6468"/>
    <w:rsid w:val="001E7F7F"/>
    <w:rsid w:val="001F0E21"/>
    <w:rsid w:val="001F1CB6"/>
    <w:rsid w:val="001F2FE9"/>
    <w:rsid w:val="001F3267"/>
    <w:rsid w:val="001F6948"/>
    <w:rsid w:val="0020033F"/>
    <w:rsid w:val="00200C57"/>
    <w:rsid w:val="00201CC4"/>
    <w:rsid w:val="00207AD5"/>
    <w:rsid w:val="0021204D"/>
    <w:rsid w:val="002127E3"/>
    <w:rsid w:val="002146E7"/>
    <w:rsid w:val="00216FD0"/>
    <w:rsid w:val="0022011C"/>
    <w:rsid w:val="00226DF0"/>
    <w:rsid w:val="00231C2E"/>
    <w:rsid w:val="00241293"/>
    <w:rsid w:val="00245135"/>
    <w:rsid w:val="002453A6"/>
    <w:rsid w:val="00247520"/>
    <w:rsid w:val="00251FC8"/>
    <w:rsid w:val="002546EA"/>
    <w:rsid w:val="00256471"/>
    <w:rsid w:val="00257943"/>
    <w:rsid w:val="002608FE"/>
    <w:rsid w:val="00271D59"/>
    <w:rsid w:val="0027418F"/>
    <w:rsid w:val="002767AD"/>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2F47"/>
    <w:rsid w:val="0033566D"/>
    <w:rsid w:val="003441F7"/>
    <w:rsid w:val="00344D62"/>
    <w:rsid w:val="00345984"/>
    <w:rsid w:val="0036090B"/>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3234"/>
    <w:rsid w:val="003E4A05"/>
    <w:rsid w:val="003E5F5C"/>
    <w:rsid w:val="003E7D9E"/>
    <w:rsid w:val="003F37E0"/>
    <w:rsid w:val="00401A23"/>
    <w:rsid w:val="00401CA2"/>
    <w:rsid w:val="00405E6D"/>
    <w:rsid w:val="00411C55"/>
    <w:rsid w:val="00415648"/>
    <w:rsid w:val="00415BCE"/>
    <w:rsid w:val="00416351"/>
    <w:rsid w:val="0042015D"/>
    <w:rsid w:val="0042215C"/>
    <w:rsid w:val="004223DE"/>
    <w:rsid w:val="00424663"/>
    <w:rsid w:val="00425950"/>
    <w:rsid w:val="00430B78"/>
    <w:rsid w:val="00441209"/>
    <w:rsid w:val="00443568"/>
    <w:rsid w:val="00444981"/>
    <w:rsid w:val="0045026B"/>
    <w:rsid w:val="00453F94"/>
    <w:rsid w:val="004558AB"/>
    <w:rsid w:val="00457729"/>
    <w:rsid w:val="0047598D"/>
    <w:rsid w:val="004802CE"/>
    <w:rsid w:val="00486DB6"/>
    <w:rsid w:val="00487D16"/>
    <w:rsid w:val="00490FF3"/>
    <w:rsid w:val="004957F5"/>
    <w:rsid w:val="004976A5"/>
    <w:rsid w:val="004A0034"/>
    <w:rsid w:val="004A02D4"/>
    <w:rsid w:val="004A0690"/>
    <w:rsid w:val="004A2CA4"/>
    <w:rsid w:val="004A7A7B"/>
    <w:rsid w:val="004B401D"/>
    <w:rsid w:val="004B58A1"/>
    <w:rsid w:val="004B7BB8"/>
    <w:rsid w:val="004C351C"/>
    <w:rsid w:val="004C42F9"/>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1561C"/>
    <w:rsid w:val="00523B8A"/>
    <w:rsid w:val="00532585"/>
    <w:rsid w:val="00533FA0"/>
    <w:rsid w:val="0053657E"/>
    <w:rsid w:val="0054006F"/>
    <w:rsid w:val="00540C10"/>
    <w:rsid w:val="005464FA"/>
    <w:rsid w:val="0055742A"/>
    <w:rsid w:val="00560650"/>
    <w:rsid w:val="00567FB5"/>
    <w:rsid w:val="005770C3"/>
    <w:rsid w:val="00577753"/>
    <w:rsid w:val="00581AD2"/>
    <w:rsid w:val="005857A0"/>
    <w:rsid w:val="00587D18"/>
    <w:rsid w:val="00591E58"/>
    <w:rsid w:val="00592D42"/>
    <w:rsid w:val="005A5B02"/>
    <w:rsid w:val="005B3245"/>
    <w:rsid w:val="005B6754"/>
    <w:rsid w:val="005B75C0"/>
    <w:rsid w:val="005C3143"/>
    <w:rsid w:val="005D311B"/>
    <w:rsid w:val="005D559F"/>
    <w:rsid w:val="005D61D8"/>
    <w:rsid w:val="005E011D"/>
    <w:rsid w:val="005E3B86"/>
    <w:rsid w:val="005E4E6B"/>
    <w:rsid w:val="005E6995"/>
    <w:rsid w:val="005E7043"/>
    <w:rsid w:val="005E7C64"/>
    <w:rsid w:val="005F2A5A"/>
    <w:rsid w:val="005F2AEA"/>
    <w:rsid w:val="005F4FFE"/>
    <w:rsid w:val="00602C6F"/>
    <w:rsid w:val="00604ECA"/>
    <w:rsid w:val="006069FD"/>
    <w:rsid w:val="00610EE1"/>
    <w:rsid w:val="00613C84"/>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97D49"/>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1E8"/>
    <w:rsid w:val="006F5B6D"/>
    <w:rsid w:val="006F5BD8"/>
    <w:rsid w:val="006F7AF9"/>
    <w:rsid w:val="007015B6"/>
    <w:rsid w:val="00701EC2"/>
    <w:rsid w:val="007021BE"/>
    <w:rsid w:val="00706C32"/>
    <w:rsid w:val="00707C9C"/>
    <w:rsid w:val="007106B4"/>
    <w:rsid w:val="007214A9"/>
    <w:rsid w:val="007214DF"/>
    <w:rsid w:val="007220B1"/>
    <w:rsid w:val="00724A4B"/>
    <w:rsid w:val="00727A14"/>
    <w:rsid w:val="007302C1"/>
    <w:rsid w:val="0073120F"/>
    <w:rsid w:val="007314F0"/>
    <w:rsid w:val="007324AF"/>
    <w:rsid w:val="0074240E"/>
    <w:rsid w:val="00742FA1"/>
    <w:rsid w:val="007476BA"/>
    <w:rsid w:val="00750798"/>
    <w:rsid w:val="00752BCF"/>
    <w:rsid w:val="0076538D"/>
    <w:rsid w:val="007714E5"/>
    <w:rsid w:val="00773D5E"/>
    <w:rsid w:val="00776FAF"/>
    <w:rsid w:val="00777229"/>
    <w:rsid w:val="007775E8"/>
    <w:rsid w:val="0078072D"/>
    <w:rsid w:val="00784108"/>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101A6"/>
    <w:rsid w:val="0081044D"/>
    <w:rsid w:val="00821E76"/>
    <w:rsid w:val="008259BC"/>
    <w:rsid w:val="0083105A"/>
    <w:rsid w:val="00837040"/>
    <w:rsid w:val="008427AB"/>
    <w:rsid w:val="008439F9"/>
    <w:rsid w:val="00847DCE"/>
    <w:rsid w:val="0085023C"/>
    <w:rsid w:val="00853966"/>
    <w:rsid w:val="00857827"/>
    <w:rsid w:val="00862CEF"/>
    <w:rsid w:val="00866A6C"/>
    <w:rsid w:val="00895252"/>
    <w:rsid w:val="008969FE"/>
    <w:rsid w:val="008A237C"/>
    <w:rsid w:val="008A2D2C"/>
    <w:rsid w:val="008A3633"/>
    <w:rsid w:val="008B2514"/>
    <w:rsid w:val="008B4607"/>
    <w:rsid w:val="008B5C78"/>
    <w:rsid w:val="008C030F"/>
    <w:rsid w:val="008C3836"/>
    <w:rsid w:val="008D046E"/>
    <w:rsid w:val="008E28BD"/>
    <w:rsid w:val="008E4EAC"/>
    <w:rsid w:val="008E541E"/>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354F6"/>
    <w:rsid w:val="00940134"/>
    <w:rsid w:val="00943A3E"/>
    <w:rsid w:val="00944CCC"/>
    <w:rsid w:val="00945E7F"/>
    <w:rsid w:val="00947403"/>
    <w:rsid w:val="0095057C"/>
    <w:rsid w:val="009543BA"/>
    <w:rsid w:val="00954FB4"/>
    <w:rsid w:val="0095754B"/>
    <w:rsid w:val="00960925"/>
    <w:rsid w:val="00970AB3"/>
    <w:rsid w:val="00982C13"/>
    <w:rsid w:val="00985DF4"/>
    <w:rsid w:val="00987E45"/>
    <w:rsid w:val="0099241E"/>
    <w:rsid w:val="009942F3"/>
    <w:rsid w:val="00994950"/>
    <w:rsid w:val="0099652B"/>
    <w:rsid w:val="009A0831"/>
    <w:rsid w:val="009A44FB"/>
    <w:rsid w:val="009A5CDE"/>
    <w:rsid w:val="009A7040"/>
    <w:rsid w:val="009B3F92"/>
    <w:rsid w:val="009C3CE9"/>
    <w:rsid w:val="009C6A82"/>
    <w:rsid w:val="009D13F2"/>
    <w:rsid w:val="009D15D2"/>
    <w:rsid w:val="009D4D97"/>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17D"/>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0AF5"/>
    <w:rsid w:val="00B146E7"/>
    <w:rsid w:val="00B30B86"/>
    <w:rsid w:val="00B32A4F"/>
    <w:rsid w:val="00B358E2"/>
    <w:rsid w:val="00B40CB6"/>
    <w:rsid w:val="00B4203A"/>
    <w:rsid w:val="00B50AD6"/>
    <w:rsid w:val="00B51AB3"/>
    <w:rsid w:val="00B5337C"/>
    <w:rsid w:val="00B5340F"/>
    <w:rsid w:val="00B611F7"/>
    <w:rsid w:val="00B6765D"/>
    <w:rsid w:val="00B717C5"/>
    <w:rsid w:val="00B718B8"/>
    <w:rsid w:val="00B73C33"/>
    <w:rsid w:val="00B75463"/>
    <w:rsid w:val="00B76C9B"/>
    <w:rsid w:val="00B90F21"/>
    <w:rsid w:val="00B93445"/>
    <w:rsid w:val="00B94F7E"/>
    <w:rsid w:val="00B95F83"/>
    <w:rsid w:val="00B965C5"/>
    <w:rsid w:val="00B96E34"/>
    <w:rsid w:val="00B9729A"/>
    <w:rsid w:val="00BB0177"/>
    <w:rsid w:val="00BB3A31"/>
    <w:rsid w:val="00BC1A56"/>
    <w:rsid w:val="00BC2D65"/>
    <w:rsid w:val="00BD1F2C"/>
    <w:rsid w:val="00BD2BBE"/>
    <w:rsid w:val="00BD7EF8"/>
    <w:rsid w:val="00BE0FEE"/>
    <w:rsid w:val="00BE4817"/>
    <w:rsid w:val="00BE721C"/>
    <w:rsid w:val="00BF0DC7"/>
    <w:rsid w:val="00BF1F54"/>
    <w:rsid w:val="00BF31AA"/>
    <w:rsid w:val="00C04782"/>
    <w:rsid w:val="00C04F2D"/>
    <w:rsid w:val="00C238F0"/>
    <w:rsid w:val="00C25CC6"/>
    <w:rsid w:val="00C31297"/>
    <w:rsid w:val="00C61A9B"/>
    <w:rsid w:val="00C66BD8"/>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57FE6"/>
    <w:rsid w:val="00E64B7B"/>
    <w:rsid w:val="00E66654"/>
    <w:rsid w:val="00E709FC"/>
    <w:rsid w:val="00E7154C"/>
    <w:rsid w:val="00E74817"/>
    <w:rsid w:val="00E75B6D"/>
    <w:rsid w:val="00E76C2B"/>
    <w:rsid w:val="00E8294F"/>
    <w:rsid w:val="00E870C3"/>
    <w:rsid w:val="00E8738A"/>
    <w:rsid w:val="00E916E5"/>
    <w:rsid w:val="00E92780"/>
    <w:rsid w:val="00E92F11"/>
    <w:rsid w:val="00E95399"/>
    <w:rsid w:val="00E95FBD"/>
    <w:rsid w:val="00E9654C"/>
    <w:rsid w:val="00EA1A1C"/>
    <w:rsid w:val="00EA34EF"/>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05960"/>
    <w:rsid w:val="00F113F4"/>
    <w:rsid w:val="00F13479"/>
    <w:rsid w:val="00F14CE8"/>
    <w:rsid w:val="00F1625A"/>
    <w:rsid w:val="00F17C93"/>
    <w:rsid w:val="00F50BA2"/>
    <w:rsid w:val="00F5664D"/>
    <w:rsid w:val="00F6771B"/>
    <w:rsid w:val="00F703C3"/>
    <w:rsid w:val="00F80799"/>
    <w:rsid w:val="00F8162A"/>
    <w:rsid w:val="00F81776"/>
    <w:rsid w:val="00F835AD"/>
    <w:rsid w:val="00F83D56"/>
    <w:rsid w:val="00F844FD"/>
    <w:rsid w:val="00F869A3"/>
    <w:rsid w:val="00F86FB3"/>
    <w:rsid w:val="00F93037"/>
    <w:rsid w:val="00F97BF1"/>
    <w:rsid w:val="00FA29D8"/>
    <w:rsid w:val="00FA5F5D"/>
    <w:rsid w:val="00FB0BA6"/>
    <w:rsid w:val="00FC29A0"/>
    <w:rsid w:val="00FC6C17"/>
    <w:rsid w:val="00FD2B63"/>
    <w:rsid w:val="00FE1054"/>
    <w:rsid w:val="00FE48DB"/>
    <w:rsid w:val="00FF3620"/>
    <w:rsid w:val="00FF3A84"/>
    <w:rsid w:val="01110239"/>
    <w:rsid w:val="028847F9"/>
    <w:rsid w:val="03746F30"/>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3FF92B5E"/>
    <w:rsid w:val="41FC306C"/>
    <w:rsid w:val="43A5591D"/>
    <w:rsid w:val="44BE5554"/>
    <w:rsid w:val="451E0908"/>
    <w:rsid w:val="452C2D31"/>
    <w:rsid w:val="45D26E14"/>
    <w:rsid w:val="46A541B1"/>
    <w:rsid w:val="48C57772"/>
    <w:rsid w:val="49782886"/>
    <w:rsid w:val="4A6F0D28"/>
    <w:rsid w:val="4AAF085C"/>
    <w:rsid w:val="4AEB7E60"/>
    <w:rsid w:val="4B4B135B"/>
    <w:rsid w:val="4BC7055F"/>
    <w:rsid w:val="4CED0F9F"/>
    <w:rsid w:val="4CFC7DB2"/>
    <w:rsid w:val="4E205B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5F07072D"/>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 w:val="7F756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835</Words>
  <Characters>4766</Characters>
  <Lines>39</Lines>
  <Paragraphs>11</Paragraphs>
  <TotalTime>335</TotalTime>
  <ScaleCrop>false</ScaleCrop>
  <LinksUpToDate>false</LinksUpToDate>
  <CharactersWithSpaces>5590</CharactersWithSpaces>
  <Application>WPS Office_11.1.0.9208_F1E327BC-269C-435d-A152-05C5408002CA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2021-05-30T02:56:08Z</dcterms:modified>
  <cp:revision>849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