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bookmarkStart w:id="92" w:name="_GoBack"/>
      <w:bookmarkEnd w:id="92"/>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2018年度新疆喀什综合保税区管理委员会部门</w:t>
      </w:r>
    </w:p>
    <w:p>
      <w:pPr>
        <w:spacing w:line="5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4"/>
      <w:bookmarkStart w:id="1" w:name="OLE_LINK95"/>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组织编制综合保税区发展规划、建设规划草案并组织实施；制订综合保税区各项具体规定，按照规定的权限，负责综合保税区内有关规划、建设、管理、运营等各项事宜。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新疆喀什综合保税区管理委员会</w:t>
      </w:r>
      <w:r>
        <w:rPr>
          <w:rFonts w:hint="eastAsia" w:ascii="仿宋_GB2312" w:eastAsia="仿宋_GB2312"/>
          <w:sz w:val="32"/>
          <w:szCs w:val="32"/>
        </w:rPr>
        <w:t>部门决算包括：</w:t>
      </w:r>
      <w:r>
        <w:rPr>
          <w:rFonts w:ascii="仿宋_GB2312" w:eastAsia="仿宋_GB2312"/>
          <w:sz w:val="32"/>
          <w:szCs w:val="32"/>
        </w:rPr>
        <w:t>新疆喀什综合保税区管理委员会</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新疆喀什综合保税区管理委员会</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spacing w:line="500" w:lineRule="exact"/>
              <w:ind w:firstLine="640" w:firstLineChars="200"/>
              <w:jc w:val="left"/>
            </w:pPr>
            <w:r>
              <w:rPr>
                <w:rFonts w:eastAsia="Times New Roman"/>
                <w:color w:val="000000"/>
                <w:position w:val="-1"/>
                <w:sz w:val="32"/>
              </w:rPr>
              <w:t>1</w:t>
            </w:r>
          </w:p>
        </w:tc>
        <w:tc>
          <w:tcPr>
            <w:tcW w:w="3870" w:type="dxa"/>
          </w:tcPr>
          <w:p>
            <w:pPr>
              <w:spacing w:line="500" w:lineRule="exact"/>
              <w:ind w:firstLine="640" w:firstLineChars="200"/>
              <w:jc w:val="left"/>
            </w:pPr>
            <w:r>
              <w:rPr>
                <w:rFonts w:eastAsia="Times New Roman"/>
                <w:color w:val="000000"/>
                <w:position w:val="-1"/>
                <w:sz w:val="32"/>
              </w:rPr>
              <w:t>新疆喀什综合保税区管理委员会</w:t>
            </w:r>
          </w:p>
        </w:tc>
        <w:tc>
          <w:tcPr>
            <w:tcW w:w="2538" w:type="dxa"/>
            <w:vAlign w:val="center"/>
          </w:tcPr>
          <w:p>
            <w:pPr>
              <w:spacing w:line="500" w:lineRule="exact"/>
              <w:ind w:firstLine="420" w:firstLineChars="200"/>
              <w:jc w:val="left"/>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100"/>
      <w:bookmarkStart w:id="5" w:name="OLE_LINK99"/>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7,176.68</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，与上年相比增加0万元，增长0%，主要原因是：</w:t>
      </w:r>
      <w:r>
        <w:rPr>
          <w:rFonts w:hint="eastAsia" w:ascii="仿宋_GB2312" w:eastAsia="仿宋_GB2312"/>
          <w:color w:val="000000" w:themeColor="text1"/>
          <w:sz w:val="32"/>
          <w:szCs w:val="32"/>
        </w:rPr>
        <w:t>新增单位，无上年对比数据；</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1,755.16</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w:t>
      </w:r>
      <w:r>
        <w:rPr>
          <w:rFonts w:hint="eastAsia" w:ascii="仿宋_GB2312" w:eastAsia="仿宋_GB2312"/>
          <w:color w:val="000000" w:themeColor="text1"/>
          <w:sz w:val="32"/>
          <w:szCs w:val="32"/>
        </w:rPr>
        <w:t>新增单位，无上年对比数据；</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5,421.52</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w:t>
      </w:r>
      <w:r>
        <w:rPr>
          <w:rFonts w:ascii="仿宋_GB2312" w:eastAsia="仿宋_GB2312"/>
          <w:color w:val="000000" w:themeColor="text1"/>
          <w:sz w:val="32"/>
          <w:szCs w:val="32"/>
        </w:rPr>
        <w:t>新增单位，无上年对比数据。</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7,176.68</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6,203.54</w:t>
      </w:r>
      <w:r>
        <w:rPr>
          <w:rFonts w:hint="eastAsia" w:ascii="仿宋_GB2312" w:eastAsia="仿宋_GB2312"/>
          <w:color w:val="000000" w:themeColor="text1"/>
          <w:sz w:val="32"/>
          <w:szCs w:val="32"/>
        </w:rPr>
        <w:t>万元，占</w:t>
      </w:r>
      <w:r>
        <w:rPr>
          <w:rFonts w:hint="eastAsia" w:ascii="仿宋_GB2312" w:eastAsia="仿宋_GB2312"/>
          <w:sz w:val="32"/>
          <w:szCs w:val="32"/>
        </w:rPr>
        <w:t>86.44%</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973.15</w:t>
      </w:r>
      <w:r>
        <w:rPr>
          <w:rFonts w:hint="eastAsia" w:ascii="仿宋_GB2312" w:eastAsia="仿宋_GB2312"/>
          <w:color w:val="000000" w:themeColor="text1"/>
          <w:sz w:val="32"/>
          <w:szCs w:val="32"/>
        </w:rPr>
        <w:t>万元，占</w:t>
      </w:r>
      <w:r>
        <w:rPr>
          <w:rFonts w:hint="eastAsia" w:ascii="仿宋_GB2312" w:eastAsia="仿宋_GB2312"/>
          <w:sz w:val="32"/>
          <w:szCs w:val="32"/>
        </w:rPr>
        <w:t>13.56%</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况：本年收入年初预算数455.31万元</w:t>
      </w:r>
      <w:r>
        <w:rPr>
          <w:rFonts w:hint="eastAsia" w:ascii="仿宋_GB2312" w:eastAsia="仿宋_GB2312"/>
          <w:sz w:val="32"/>
          <w:szCs w:val="32"/>
        </w:rPr>
        <w:t>，决算数7,176.68万元</w:t>
      </w:r>
      <w:r>
        <w:rPr>
          <w:rFonts w:ascii="仿宋_GB2312" w:eastAsia="仿宋_GB2312"/>
          <w:sz w:val="32"/>
          <w:szCs w:val="32"/>
        </w:rPr>
        <w:t>，预决算差异率1476.22%，差异主要原因是:部分项目追加。</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1,755.16</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144.62</w:t>
      </w:r>
      <w:r>
        <w:rPr>
          <w:rFonts w:hint="eastAsia" w:ascii="仿宋_GB2312" w:eastAsia="仿宋_GB2312"/>
          <w:color w:val="000000" w:themeColor="text1"/>
          <w:sz w:val="32"/>
          <w:szCs w:val="32"/>
        </w:rPr>
        <w:t>万元，占</w:t>
      </w:r>
      <w:r>
        <w:rPr>
          <w:rFonts w:hint="eastAsia" w:ascii="仿宋_GB2312" w:eastAsia="仿宋_GB2312"/>
          <w:sz w:val="32"/>
          <w:szCs w:val="32"/>
        </w:rPr>
        <w:t>8.24%</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1,610.54</w:t>
      </w:r>
      <w:r>
        <w:rPr>
          <w:rFonts w:hint="eastAsia" w:ascii="仿宋_GB2312" w:eastAsia="仿宋_GB2312"/>
          <w:color w:val="000000" w:themeColor="text1"/>
          <w:sz w:val="32"/>
          <w:szCs w:val="32"/>
        </w:rPr>
        <w:t>万元，占</w:t>
      </w:r>
      <w:r>
        <w:rPr>
          <w:rFonts w:hint="eastAsia" w:ascii="仿宋_GB2312" w:eastAsia="仿宋_GB2312"/>
          <w:sz w:val="32"/>
          <w:szCs w:val="32"/>
        </w:rPr>
        <w:t>91.76%</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与年初预算数相比情况：本年支出年初预算数455.31万元，</w:t>
      </w:r>
      <w:r>
        <w:rPr>
          <w:rFonts w:hint="eastAsia" w:ascii="仿宋_GB2312" w:eastAsia="仿宋_GB2312"/>
          <w:sz w:val="32"/>
          <w:szCs w:val="32"/>
        </w:rPr>
        <w:t>决算数1,755.16万元</w:t>
      </w:r>
      <w:r>
        <w:rPr>
          <w:rFonts w:ascii="仿宋_GB2312" w:eastAsia="仿宋_GB2312"/>
          <w:sz w:val="32"/>
          <w:szCs w:val="32"/>
        </w:rPr>
        <w:t>，预决算差异率285.49%，差异主要原因是:部分项目追加。</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8"/>
      <w:bookmarkStart w:id="24" w:name="OLE_LINK57"/>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6,203.54</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，与上年相比增加0万元，增长0%，主要原因是：新增单位，无上年对比数据。</w:t>
      </w:r>
      <w:bookmarkEnd w:id="23"/>
      <w:bookmarkEnd w:id="24"/>
      <w:bookmarkStart w:id="26" w:name="OLE_LINK14"/>
      <w:bookmarkStart w:id="27" w:name="OLE_LINK59"/>
      <w:bookmarkStart w:id="28" w:name="OLE_LINK60"/>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819.84</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w:t>
      </w:r>
      <w:r>
        <w:rPr>
          <w:rFonts w:ascii="仿宋_GB2312" w:eastAsia="仿宋_GB2312"/>
          <w:sz w:val="32"/>
          <w:szCs w:val="32"/>
        </w:rPr>
        <w:t>新增单位，无上年对比数据。</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144.62</w:t>
      </w:r>
      <w:r>
        <w:rPr>
          <w:rFonts w:hint="eastAsia" w:ascii="仿宋_GB2312" w:eastAsia="仿宋_GB2312"/>
          <w:color w:val="000000" w:themeColor="text1"/>
          <w:sz w:val="32"/>
          <w:szCs w:val="32"/>
        </w:rPr>
        <w:t>万元，项目支出</w:t>
      </w:r>
      <w:r>
        <w:rPr>
          <w:rFonts w:hint="eastAsia" w:ascii="仿宋_GB2312" w:eastAsia="仿宋_GB2312"/>
          <w:sz w:val="32"/>
          <w:szCs w:val="32"/>
        </w:rPr>
        <w:t>675.21</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5,383.7</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，与上年相比增加0万元，增长0%，主要原因是：新增单位，无上年对比数据。</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455.31</w:t>
      </w:r>
      <w:r>
        <w:rPr>
          <w:rFonts w:hint="eastAsia" w:ascii="仿宋_GB2312" w:eastAsia="仿宋_GB2312"/>
          <w:color w:val="000000" w:themeColor="text1"/>
          <w:sz w:val="32"/>
          <w:szCs w:val="32"/>
        </w:rPr>
        <w:t>万元，决算数</w:t>
      </w:r>
      <w:r>
        <w:rPr>
          <w:rFonts w:hint="eastAsia" w:ascii="仿宋_GB2312" w:eastAsia="仿宋_GB2312"/>
          <w:sz w:val="32"/>
          <w:szCs w:val="32"/>
        </w:rPr>
        <w:t>6,203.54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，预决算差异率1262.49%，差异主要原因是:部分项目追加。</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455.31</w:t>
      </w:r>
      <w:r>
        <w:rPr>
          <w:rFonts w:hint="eastAsia" w:ascii="仿宋_GB2312" w:eastAsia="仿宋_GB2312"/>
          <w:color w:val="000000" w:themeColor="text1"/>
          <w:sz w:val="32"/>
          <w:szCs w:val="32"/>
        </w:rPr>
        <w:t>万元，决算数</w:t>
      </w:r>
      <w:r>
        <w:rPr>
          <w:rFonts w:hint="eastAsia" w:ascii="仿宋_GB2312" w:eastAsia="仿宋_GB2312"/>
          <w:sz w:val="32"/>
          <w:szCs w:val="32"/>
        </w:rPr>
        <w:t>819.84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，预决算差异率80.06%，差异主要原因是:部分项目追加。</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6,203.54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，与上年相比增加0万元，增长0%，主要原因是：新增单位，无上年对比数据。</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819.84</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，与上年相比增加0万元，增长0%，主要原因是：新增单位，无上年对比数据。</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住房保障支出7.92万元,一般公共服务支出615.6万元,交通运输支出162.22万元,教育支出1.56万元,商业服务业等支出19.78万元,其他支出0.72万元,社会保障和就业支出12.03万元。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工资福利支出131.75万元,商品和服务支出483.41万元,资本性支出185.68万元,对企业补助19万元。</w:t>
      </w:r>
    </w:p>
    <w:p>
      <w:pPr>
        <w:spacing w:line="540" w:lineRule="exact"/>
        <w:ind w:firstLine="640" w:firstLineChars="200"/>
        <w:rPr>
          <w:rFonts w:ascii="仿宋_GB2312" w:eastAsia="仿宋_GB2312"/>
          <w:color w:val="000000" w:themeColor="text1"/>
          <w:sz w:val="32"/>
          <w:szCs w:val="32"/>
        </w:rPr>
      </w:pPr>
      <w:bookmarkStart w:id="41" w:name="OLE_LINK66"/>
      <w:bookmarkStart w:id="42" w:name="OLE_LINK67"/>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455.31</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6,203.54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，预决算差异率1262.49%，差异主要原因是:部分项目追加。</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455.31</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819.84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，预决算差异率80.06%，差异主要原因是:部分项目追加。</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，与上年相比增加0万元，增长0%，主要原因是：无政府性基金收入。</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，与上年相比增加0万元，增长0%，主要原因是：无政府性基金支出。</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，无。按经济分类科目（按类级科目公开），无。</w:t>
      </w:r>
    </w:p>
    <w:p>
      <w:pPr>
        <w:spacing w:line="540" w:lineRule="exact"/>
        <w:ind w:firstLine="640" w:firstLineChars="200"/>
        <w:rPr>
          <w:rFonts w:ascii="仿宋_GB2312" w:eastAsia="仿宋_GB2312"/>
          <w:color w:val="000000" w:themeColor="text1"/>
          <w:sz w:val="32"/>
          <w:szCs w:val="32"/>
        </w:rPr>
      </w:pPr>
      <w:bookmarkStart w:id="49" w:name="OLE_LINK72"/>
      <w:bookmarkStart w:id="50" w:name="OLE_LINK71"/>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，预决算差异率0%，差异主要原因是:无政府性基金收入。</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，预决算差异率0%，差异主要原因是:无政府性基金支出。</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52" w:name="OLE_LINK25"/>
      <w:bookmarkStart w:id="53" w:name="OLE_LINK26"/>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5,421.52</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54" w:name="OLE_LINK28"/>
      <w:bookmarkStart w:id="55" w:name="OLE_LINK27"/>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5,383.7</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6" w:name="OLE_LINK74"/>
      <w:r>
        <w:rPr>
          <w:rFonts w:hint="eastAsia" w:ascii="仿宋_GB2312" w:eastAsia="仿宋_GB2312"/>
          <w:color w:val="000000" w:themeColor="text1"/>
          <w:sz w:val="32"/>
          <w:szCs w:val="32"/>
        </w:rPr>
        <w:t>2018年度</w:t>
      </w:r>
      <w:bookmarkStart w:id="57" w:name="OLE_LINK29"/>
      <w:r>
        <w:rPr>
          <w:rFonts w:hint="eastAsia" w:ascii="仿宋_GB2312" w:eastAsia="仿宋_GB2312"/>
          <w:color w:val="000000" w:themeColor="text1"/>
          <w:sz w:val="32"/>
          <w:szCs w:val="32"/>
        </w:rPr>
        <w:t>一般公共预算“三公”经费支出决算</w:t>
      </w:r>
      <w:bookmarkEnd w:id="57"/>
      <w:r>
        <w:rPr>
          <w:rFonts w:hint="eastAsia" w:ascii="仿宋_GB2312" w:eastAsia="仿宋_GB2312"/>
          <w:sz w:val="32"/>
          <w:szCs w:val="32"/>
        </w:rPr>
        <w:t>0.36</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，与上年相比增加0万元，增长0%，主要原因是：新增单位，无上年对比数据。</w:t>
      </w:r>
      <w:bookmarkEnd w:id="56"/>
      <w:bookmarkStart w:id="58" w:name="OLE_LINK75"/>
      <w:r>
        <w:rPr>
          <w:rFonts w:hint="eastAsia" w:ascii="仿宋_GB2312" w:eastAsia="仿宋_GB2312"/>
          <w:color w:val="000000" w:themeColor="text1"/>
          <w:sz w:val="32"/>
          <w:szCs w:val="32"/>
        </w:rPr>
        <w:t>其中，</w:t>
      </w:r>
      <w:bookmarkStart w:id="59" w:name="OLE_LINK30"/>
      <w:r>
        <w:rPr>
          <w:rFonts w:hint="eastAsia" w:ascii="仿宋_GB2312" w:eastAsia="仿宋_GB2312"/>
          <w:color w:val="000000" w:themeColor="text1"/>
          <w:sz w:val="32"/>
          <w:szCs w:val="32"/>
        </w:rPr>
        <w:t>因公出国（境）费支出</w:t>
      </w:r>
      <w:bookmarkEnd w:id="5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0%，与上年相比增加0万元，增长0%，主要原因是：无变化；</w:t>
      </w:r>
      <w:bookmarkEnd w:id="58"/>
      <w:bookmarkStart w:id="60" w:name="OLE_LINK31"/>
      <w:bookmarkStart w:id="61" w:name="OLE_LINK76"/>
      <w:r>
        <w:rPr>
          <w:rFonts w:hint="eastAsia" w:ascii="仿宋_GB2312" w:eastAsia="仿宋_GB2312"/>
          <w:color w:val="000000" w:themeColor="text1"/>
          <w:sz w:val="32"/>
          <w:szCs w:val="32"/>
        </w:rPr>
        <w:t>公务用车购置及运行维护费支出</w:t>
      </w:r>
      <w:bookmarkEnd w:id="6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0%，与上年相比增加0万元，增长0%，主要原因是：无变化；</w:t>
      </w:r>
      <w:bookmarkEnd w:id="61"/>
      <w:bookmarkStart w:id="62" w:name="OLE_LINK32"/>
      <w:bookmarkStart w:id="63" w:name="OLE_LINK77"/>
      <w:bookmarkStart w:id="64" w:name="OLE_LINK78"/>
      <w:r>
        <w:rPr>
          <w:rFonts w:hint="eastAsia" w:ascii="仿宋_GB2312" w:eastAsia="仿宋_GB2312"/>
          <w:color w:val="000000" w:themeColor="text1"/>
          <w:sz w:val="32"/>
          <w:szCs w:val="32"/>
        </w:rPr>
        <w:t>公务接待费支出</w:t>
      </w:r>
      <w:bookmarkEnd w:id="62"/>
      <w:r>
        <w:rPr>
          <w:rFonts w:hint="eastAsia" w:ascii="仿宋_GB2312" w:eastAsia="仿宋_GB2312"/>
          <w:sz w:val="32"/>
          <w:szCs w:val="32"/>
        </w:rPr>
        <w:t>0.36</w:t>
      </w:r>
      <w:r>
        <w:rPr>
          <w:rFonts w:hint="eastAsia" w:ascii="仿宋_GB2312" w:eastAsia="仿宋_GB2312"/>
          <w:color w:val="000000" w:themeColor="text1"/>
          <w:sz w:val="32"/>
          <w:szCs w:val="32"/>
        </w:rPr>
        <w:t>万元，占</w:t>
      </w:r>
      <w:r>
        <w:rPr>
          <w:rFonts w:hint="eastAsia" w:ascii="仿宋_GB2312" w:eastAsia="仿宋_GB2312"/>
          <w:sz w:val="32"/>
          <w:szCs w:val="32"/>
        </w:rPr>
        <w:t>100%，与上年相比增加0万元，增长0%，主要原因是：新增单位，无上年对比数据。</w:t>
      </w:r>
      <w:bookmarkEnd w:id="63"/>
      <w:bookmarkEnd w:id="64"/>
      <w:r>
        <w:rPr>
          <w:rFonts w:hint="eastAsia" w:ascii="仿宋_GB2312" w:eastAsia="仿宋_GB2312"/>
          <w:color w:val="000000" w:themeColor="text1"/>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5" w:name="OLE_LINK79"/>
      <w:bookmarkStart w:id="66" w:name="OLE_LINK80"/>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新疆喀什综合保税区管理委员会</w:t>
      </w:r>
      <w:r>
        <w:rPr>
          <w:rFonts w:hint="eastAsia" w:ascii="仿宋_GB2312" w:eastAsia="仿宋_GB2312"/>
          <w:color w:val="000000" w:themeColor="text1"/>
          <w:sz w:val="32"/>
          <w:szCs w:val="32"/>
        </w:rPr>
        <w:t>单位</w:t>
      </w:r>
      <w:bookmarkStart w:id="67" w:name="OLE_LINK33"/>
      <w:r>
        <w:rPr>
          <w:rFonts w:hint="eastAsia" w:ascii="仿宋_GB2312" w:eastAsia="仿宋_GB2312"/>
          <w:color w:val="000000" w:themeColor="text1"/>
          <w:sz w:val="32"/>
          <w:szCs w:val="32"/>
        </w:rPr>
        <w:t>全年</w:t>
      </w:r>
      <w:bookmarkStart w:id="68" w:name="OLE_LINK34"/>
      <w:bookmarkStart w:id="69" w:name="OLE_LINK35"/>
      <w:bookmarkStart w:id="70" w:name="OLE_LINK36"/>
      <w:r>
        <w:rPr>
          <w:rFonts w:hint="eastAsia" w:ascii="仿宋_GB2312" w:eastAsia="仿宋_GB2312"/>
          <w:color w:val="000000" w:themeColor="text1"/>
          <w:sz w:val="32"/>
          <w:szCs w:val="32"/>
        </w:rPr>
        <w:t>使用一般公共预算财政拨款安排的出国（境）团组</w:t>
      </w:r>
      <w:bookmarkEnd w:id="67"/>
      <w:bookmarkEnd w:id="68"/>
      <w:bookmarkEnd w:id="69"/>
      <w:r>
        <w:rPr>
          <w:rFonts w:hint="eastAsia" w:ascii="仿宋_GB2312" w:eastAsia="仿宋_GB2312"/>
          <w:sz w:val="32"/>
          <w:szCs w:val="32"/>
        </w:rPr>
        <w:t>0</w:t>
      </w:r>
      <w:r>
        <w:rPr>
          <w:rFonts w:hint="eastAsia" w:ascii="仿宋_GB2312" w:eastAsia="仿宋_GB2312"/>
          <w:color w:val="000000" w:themeColor="text1"/>
          <w:sz w:val="32"/>
          <w:szCs w:val="32"/>
        </w:rPr>
        <w:t>个</w:t>
      </w:r>
      <w:bookmarkEnd w:id="70"/>
      <w:r>
        <w:rPr>
          <w:rFonts w:hint="eastAsia" w:ascii="仿宋_GB2312" w:eastAsia="仿宋_GB2312"/>
          <w:color w:val="000000" w:themeColor="text1"/>
          <w:sz w:val="32"/>
          <w:szCs w:val="32"/>
        </w:rPr>
        <w:t>，</w:t>
      </w:r>
      <w:bookmarkStart w:id="71"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1"/>
      <w:r>
        <w:rPr>
          <w:rFonts w:hint="eastAsia" w:ascii="仿宋_GB2312" w:eastAsia="仿宋_GB2312"/>
          <w:color w:val="000000" w:themeColor="text1"/>
          <w:sz w:val="32"/>
          <w:szCs w:val="32"/>
        </w:rPr>
        <w:t>。</w:t>
      </w:r>
      <w:bookmarkStart w:id="72"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无此项开支。</w:t>
      </w:r>
      <w:bookmarkEnd w:id="65"/>
      <w:bookmarkEnd w:id="66"/>
      <w:bookmarkEnd w:id="72"/>
    </w:p>
    <w:p>
      <w:pPr>
        <w:spacing w:line="540" w:lineRule="exact"/>
        <w:ind w:firstLine="640" w:firstLineChars="200"/>
        <w:rPr>
          <w:rFonts w:ascii="仿宋_GB2312" w:eastAsia="仿宋_GB2312"/>
          <w:color w:val="000000" w:themeColor="text1"/>
          <w:sz w:val="32"/>
          <w:szCs w:val="32"/>
        </w:rPr>
      </w:pPr>
      <w:bookmarkStart w:id="73"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74"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4"/>
      <w:r>
        <w:rPr>
          <w:rFonts w:hint="eastAsia" w:ascii="仿宋_GB2312" w:eastAsia="仿宋_GB2312"/>
          <w:color w:val="000000" w:themeColor="text1"/>
          <w:sz w:val="32"/>
          <w:szCs w:val="32"/>
        </w:rPr>
        <w:t>，</w:t>
      </w:r>
      <w:bookmarkStart w:id="75" w:name="OLE_LINK40"/>
      <w:bookmarkStart w:id="76" w:name="OLE_LINK41"/>
      <w:r>
        <w:rPr>
          <w:rFonts w:hint="eastAsia" w:ascii="仿宋_GB2312" w:eastAsia="仿宋_GB2312"/>
          <w:color w:val="000000" w:themeColor="text1"/>
          <w:sz w:val="32"/>
          <w:szCs w:val="32"/>
        </w:rPr>
        <w:t>公务用车运行维护费</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5"/>
      <w:bookmarkEnd w:id="76"/>
      <w:r>
        <w:rPr>
          <w:rFonts w:hint="eastAsia" w:ascii="仿宋_GB2312" w:eastAsia="仿宋_GB2312"/>
          <w:color w:val="000000" w:themeColor="text1"/>
          <w:sz w:val="32"/>
          <w:szCs w:val="32"/>
        </w:rPr>
        <w:t>。主要用于</w:t>
      </w:r>
      <w:r>
        <w:rPr>
          <w:rFonts w:hint="eastAsia" w:ascii="仿宋_GB2312" w:eastAsia="仿宋_GB2312"/>
          <w:sz w:val="32"/>
          <w:szCs w:val="32"/>
        </w:rPr>
        <w:t>无公务用车购置及运行维护费</w:t>
      </w:r>
      <w:r>
        <w:rPr>
          <w:rFonts w:hint="eastAsia" w:ascii="仿宋_GB2312" w:eastAsia="仿宋_GB2312"/>
          <w:color w:val="000000" w:themeColor="text1"/>
          <w:sz w:val="32"/>
          <w:szCs w:val="32"/>
        </w:rPr>
        <w:t>等。</w:t>
      </w:r>
      <w:bookmarkEnd w:id="73"/>
      <w:bookmarkStart w:id="77"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0</w:t>
      </w:r>
      <w:r>
        <w:rPr>
          <w:rFonts w:hint="eastAsia" w:ascii="仿宋_GB2312" w:eastAsia="仿宋_GB2312"/>
          <w:color w:val="000000" w:themeColor="text1"/>
          <w:sz w:val="32"/>
          <w:szCs w:val="32"/>
        </w:rPr>
        <w:t>辆。</w:t>
      </w:r>
      <w:bookmarkEnd w:id="77"/>
    </w:p>
    <w:p>
      <w:pPr>
        <w:spacing w:line="540" w:lineRule="exact"/>
        <w:ind w:firstLine="640" w:firstLineChars="200"/>
        <w:rPr>
          <w:rFonts w:ascii="仿宋_GB2312" w:eastAsia="仿宋_GB2312"/>
          <w:color w:val="000000" w:themeColor="text1"/>
          <w:sz w:val="32"/>
          <w:szCs w:val="32"/>
        </w:rPr>
      </w:pPr>
      <w:bookmarkStart w:id="78"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0.36</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0.36</w:t>
      </w:r>
      <w:r>
        <w:rPr>
          <w:rFonts w:hint="eastAsia" w:ascii="仿宋_GB2312" w:eastAsia="仿宋_GB2312"/>
          <w:color w:val="000000" w:themeColor="text1"/>
          <w:sz w:val="32"/>
          <w:szCs w:val="32"/>
        </w:rPr>
        <w:t>万元，主要是</w:t>
      </w:r>
      <w:r>
        <w:rPr>
          <w:rFonts w:hint="eastAsia" w:ascii="仿宋_GB2312" w:eastAsia="仿宋_GB2312"/>
          <w:sz w:val="32"/>
          <w:szCs w:val="32"/>
        </w:rPr>
        <w:t>接待餐费</w:t>
      </w:r>
      <w:r>
        <w:rPr>
          <w:rFonts w:hint="eastAsia" w:ascii="仿宋_GB2312" w:eastAsia="仿宋_GB2312"/>
          <w:color w:val="000000" w:themeColor="text1"/>
          <w:sz w:val="32"/>
          <w:szCs w:val="32"/>
        </w:rPr>
        <w:t>等。</w:t>
      </w:r>
      <w:bookmarkEnd w:id="78"/>
      <w:bookmarkStart w:id="79" w:name="OLE_LINK84"/>
      <w:r>
        <w:rPr>
          <w:rFonts w:hint="eastAsia" w:ascii="仿宋_GB2312" w:eastAsia="仿宋_GB2312"/>
          <w:sz w:val="32"/>
          <w:szCs w:val="32"/>
        </w:rPr>
        <w:t>新疆喀什综合保税区管理委员会</w:t>
      </w:r>
      <w:r>
        <w:rPr>
          <w:rFonts w:hint="eastAsia" w:ascii="仿宋_GB2312" w:eastAsia="仿宋_GB2312"/>
          <w:color w:val="000000" w:themeColor="text1"/>
          <w:sz w:val="32"/>
          <w:szCs w:val="32"/>
        </w:rPr>
        <w:t>单位国内公务接待</w:t>
      </w:r>
      <w:r>
        <w:rPr>
          <w:rFonts w:hint="eastAsia" w:ascii="仿宋_GB2312" w:eastAsia="仿宋_GB2312"/>
          <w:sz w:val="32"/>
          <w:szCs w:val="32"/>
        </w:rPr>
        <w:t>4</w:t>
      </w:r>
      <w:r>
        <w:rPr>
          <w:rFonts w:hint="eastAsia" w:ascii="仿宋_GB2312" w:eastAsia="仿宋_GB2312"/>
          <w:color w:val="000000" w:themeColor="text1"/>
          <w:sz w:val="32"/>
          <w:szCs w:val="32"/>
        </w:rPr>
        <w:t>批次，</w:t>
      </w:r>
      <w:r>
        <w:rPr>
          <w:rFonts w:hint="eastAsia" w:ascii="仿宋_GB2312" w:eastAsia="仿宋_GB2312"/>
          <w:sz w:val="32"/>
          <w:szCs w:val="32"/>
        </w:rPr>
        <w:t>42</w:t>
      </w:r>
      <w:r>
        <w:rPr>
          <w:rFonts w:hint="eastAsia" w:ascii="仿宋_GB2312" w:eastAsia="仿宋_GB2312"/>
          <w:color w:val="000000" w:themeColor="text1"/>
          <w:sz w:val="32"/>
          <w:szCs w:val="32"/>
        </w:rPr>
        <w:t>人次。</w:t>
      </w:r>
      <w:bookmarkEnd w:id="79"/>
    </w:p>
    <w:p>
      <w:pPr>
        <w:spacing w:line="540" w:lineRule="exact"/>
        <w:ind w:firstLine="640" w:firstLineChars="200"/>
        <w:rPr>
          <w:rFonts w:ascii="仿宋_GB2312" w:hAnsi="宋体" w:eastAsia="仿宋_GB2312" w:cs="宋体"/>
          <w:color w:val="000000" w:themeColor="text1"/>
          <w:kern w:val="0"/>
          <w:sz w:val="32"/>
          <w:szCs w:val="32"/>
        </w:rPr>
      </w:pPr>
      <w:bookmarkStart w:id="80"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0.51</w:t>
      </w:r>
      <w:r>
        <w:rPr>
          <w:rFonts w:hint="eastAsia" w:ascii="仿宋_GB2312" w:eastAsia="仿宋_GB2312"/>
          <w:color w:val="000000" w:themeColor="text1"/>
          <w:sz w:val="32"/>
          <w:szCs w:val="32"/>
        </w:rPr>
        <w:t>万元，决算数0.36万元</w:t>
      </w:r>
      <w:r>
        <w:rPr>
          <w:rFonts w:ascii="仿宋_GB2312" w:eastAsia="仿宋_GB2312"/>
          <w:color w:val="000000" w:themeColor="text1"/>
          <w:sz w:val="32"/>
          <w:szCs w:val="32"/>
        </w:rPr>
        <w:t>，预决算差异率-29.41%，差异主要原因是:加强管理，减小三公经费支出。</w:t>
      </w:r>
      <w:bookmarkEnd w:id="80"/>
      <w:bookmarkStart w:id="81" w:name="OLE_LINK87"/>
      <w:bookmarkStart w:id="82" w:name="OLE_LINK86"/>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，预决算差异率0%，差异主要原因是:无差异；</w:t>
      </w:r>
      <w:bookmarkEnd w:id="81"/>
      <w:bookmarkEnd w:id="82"/>
      <w:bookmarkStart w:id="83" w:name="OLE_LINK88"/>
      <w:bookmarkStart w:id="84" w:name="OLE_LINK89"/>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83"/>
      <w:bookmarkEnd w:id="84"/>
      <w:bookmarkStart w:id="85"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85"/>
      <w:bookmarkStart w:id="86"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0.51</w:t>
      </w:r>
      <w:r>
        <w:rPr>
          <w:rFonts w:hint="eastAsia" w:ascii="仿宋_GB2312" w:eastAsia="仿宋_GB2312"/>
          <w:color w:val="000000" w:themeColor="text1"/>
          <w:sz w:val="32"/>
          <w:szCs w:val="32"/>
        </w:rPr>
        <w:t>万元，决算数0.36万元</w:t>
      </w:r>
      <w:r>
        <w:rPr>
          <w:rFonts w:ascii="仿宋_GB2312" w:eastAsia="仿宋_GB2312"/>
          <w:color w:val="000000" w:themeColor="text1"/>
          <w:sz w:val="32"/>
          <w:szCs w:val="32"/>
        </w:rPr>
        <w:t>，预决算差异率-29.41%，差异主要原因是:</w:t>
      </w:r>
      <w:bookmarkEnd w:id="86"/>
      <w:r>
        <w:rPr>
          <w:rFonts w:ascii="仿宋_GB2312" w:eastAsia="仿宋_GB2312"/>
          <w:color w:val="000000" w:themeColor="text1"/>
          <w:sz w:val="32"/>
          <w:szCs w:val="32"/>
        </w:rPr>
        <w:t>加强管理，减小三公经费支出。</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2018年度新疆喀什综合保税区管理委员会机关运行经费支出12.87万元，与上年相比增加0万元，增长0%，主要原因是：新增单位，无上年对比数据。</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7" w:name="OLE_LINK45"/>
      <w:r>
        <w:rPr>
          <w:rFonts w:hint="eastAsia" w:ascii="仿宋_GB2312" w:eastAsia="仿宋_GB2312"/>
          <w:color w:val="000000" w:themeColor="text1"/>
          <w:sz w:val="32"/>
          <w:szCs w:val="32"/>
        </w:rPr>
        <w:t>政府采购支出总额</w:t>
      </w:r>
      <w:bookmarkEnd w:id="87"/>
      <w:r>
        <w:rPr>
          <w:rFonts w:hint="eastAsia" w:ascii="仿宋_GB2312" w:eastAsia="仿宋_GB2312"/>
          <w:sz w:val="32"/>
          <w:szCs w:val="32"/>
        </w:rPr>
        <w:t>299.5</w:t>
      </w:r>
      <w:r>
        <w:rPr>
          <w:rFonts w:hint="eastAsia" w:ascii="仿宋_GB2312" w:eastAsia="仿宋_GB2312"/>
          <w:color w:val="000000" w:themeColor="text1"/>
          <w:sz w:val="32"/>
          <w:szCs w:val="32"/>
        </w:rPr>
        <w:t>万元，其中：</w:t>
      </w:r>
      <w:bookmarkStart w:id="88" w:name="OLE_LINK46"/>
      <w:r>
        <w:rPr>
          <w:rFonts w:hint="eastAsia" w:ascii="仿宋_GB2312" w:eastAsia="仿宋_GB2312"/>
          <w:color w:val="000000" w:themeColor="text1"/>
          <w:sz w:val="32"/>
          <w:szCs w:val="32"/>
        </w:rPr>
        <w:t>政府采购货物支出</w:t>
      </w:r>
      <w:bookmarkEnd w:id="88"/>
      <w:r>
        <w:rPr>
          <w:rFonts w:hint="eastAsia" w:ascii="仿宋_GB2312" w:eastAsia="仿宋_GB2312"/>
          <w:sz w:val="32"/>
          <w:szCs w:val="32"/>
        </w:rPr>
        <w:t>299.5</w:t>
      </w:r>
      <w:r>
        <w:rPr>
          <w:rFonts w:hint="eastAsia" w:ascii="仿宋_GB2312" w:eastAsia="仿宋_GB2312"/>
          <w:color w:val="000000" w:themeColor="text1"/>
          <w:sz w:val="32"/>
          <w:szCs w:val="32"/>
        </w:rPr>
        <w:t>万元、</w:t>
      </w:r>
      <w:bookmarkStart w:id="89" w:name="OLE_LINK47"/>
      <w:r>
        <w:rPr>
          <w:rFonts w:hint="eastAsia" w:ascii="仿宋_GB2312" w:eastAsia="仿宋_GB2312"/>
          <w:color w:val="000000" w:themeColor="text1"/>
          <w:sz w:val="32"/>
          <w:szCs w:val="32"/>
        </w:rPr>
        <w:t>政府采购工程支出</w:t>
      </w:r>
      <w:bookmarkEnd w:id="89"/>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90" w:name="OLE_LINK48"/>
      <w:r>
        <w:rPr>
          <w:rFonts w:hint="eastAsia" w:ascii="仿宋_GB2312" w:eastAsia="仿宋_GB2312"/>
          <w:color w:val="000000" w:themeColor="text1"/>
          <w:sz w:val="32"/>
          <w:szCs w:val="32"/>
        </w:rPr>
        <w:t>政府采购服务支出</w:t>
      </w:r>
      <w:bookmarkEnd w:id="90"/>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91"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0</w:t>
      </w:r>
      <w:r>
        <w:rPr>
          <w:rFonts w:hint="eastAsia" w:ascii="仿宋_GB2312" w:eastAsia="仿宋_GB2312"/>
          <w:color w:val="000000" w:themeColor="text1"/>
          <w:sz w:val="32"/>
          <w:szCs w:val="32"/>
        </w:rPr>
        <w:t>辆，价值</w:t>
      </w:r>
      <w:r>
        <w:rPr>
          <w:rFonts w:hint="eastAsia" w:ascii="仿宋_GB2312" w:eastAsia="仿宋_GB2312"/>
          <w:sz w:val="32"/>
          <w:szCs w:val="32"/>
        </w:rPr>
        <w:t>0</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无其他用车；</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91"/>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本单位自开预算绩效管理和绩效目标工作以来，我单位领导高度重视此项工作，并给予了大力支持，本单位在一些制度建设方面有些欠缺，有待于进一步提高和完善。绩效目标工作方面，我单位按照财政部门的相关要求积极及时上报绩效目标表及</w:t>
      </w:r>
      <w:r>
        <w:rPr>
          <w:rFonts w:hint="eastAsia" w:ascii="仿宋_GB2312" w:eastAsia="仿宋_GB2312"/>
          <w:sz w:val="32"/>
          <w:szCs w:val="32"/>
          <w:lang w:eastAsia="zh-CN"/>
        </w:rPr>
        <w:t>跟踪</w:t>
      </w:r>
      <w:r>
        <w:rPr>
          <w:rFonts w:ascii="仿宋_GB2312" w:eastAsia="仿宋_GB2312"/>
          <w:sz w:val="32"/>
          <w:szCs w:val="32"/>
        </w:rPr>
        <w:t>表，通过此项工作本单位的资金使用效益和使用质量明显提高了。</w:t>
      </w:r>
    </w:p>
    <w:p>
      <w:pPr>
        <w:spacing w:line="540" w:lineRule="exact"/>
        <w:ind w:right="-1" w:firstLine="640" w:firstLineChars="200"/>
        <w:jc w:val="left"/>
      </w:pPr>
      <w:r>
        <w:rPr>
          <w:rFonts w:ascii="仿宋_GB2312" w:hAnsi="仿宋_GB2312" w:eastAsia="仿宋_GB2312" w:cs="仿宋_GB2312"/>
          <w:color w:val="000000"/>
          <w:sz w:val="32"/>
        </w:rPr>
        <w:t xml:space="preserve">1、2018年度对讲机频占费项目绩效自评综述：根据年初设定的绩效目标，该项目绩效自评得分为95分。项目全年预算数为0.2万元，执行数为0万元，完成预算的0%。主要产出和效果：确保综保区工作的对讲机正常使用。发现的问题及原因：管委会没有拨付此项款项，公司为了不影响正常工作，先于垫付2000元频占费给运营商。但是后期财政局没有将此项预算资金拨付给综保区（支出分析表显示此项预算余额仍有2000元），因此，此项预算资金至今未拨付给综保区管委会使用。下一步改进措施： 1：以后需要支付频占费之前，先与有关运营商沟通，及时周合同签订流程，及时开具发票。2：严格按照预算申请财政资金，确保预算款项及时拨付到位，及时支付给运营商。 1、建议：请财政局也做好年度预算统筹，以丰富的经验指导各部门合理、及时的申请预算资金，按规定使用。确保预算项目的执行。 4：请财政部门协助我们构建好绩效管理体系,科学绩效评价方法,建立全过程的绩效管理机制，使我们及时的发现问题，及时纠正，确保预算资金能够合理使用，不浪费预算额度。  </w:t>
      </w:r>
    </w:p>
    <w:p>
      <w:pPr>
        <w:spacing w:line="540" w:lineRule="exact"/>
        <w:ind w:right="-1" w:firstLine="640" w:firstLineChars="200"/>
        <w:jc w:val="left"/>
      </w:pPr>
      <w:r>
        <w:rPr>
          <w:rFonts w:ascii="仿宋_GB2312" w:hAnsi="仿宋_GB2312" w:eastAsia="仿宋_GB2312" w:cs="仿宋_GB2312"/>
          <w:color w:val="000000"/>
          <w:sz w:val="32"/>
        </w:rPr>
        <w:t xml:space="preserve">2、2018年度取暖费项目绩效自评综述：根据年初设定的绩效目标，该项目绩效自评得分为88分。项目全年预算数为22万元，执行数为22万元，完成预算的100%。主要产出和效果：办公环境显著改善，减小环境污染，提高员工的工作效率。发现的问题及原因：不存在问题及原因分析。下一步改进措施： 无建议。  </w:t>
      </w:r>
    </w:p>
    <w:p>
      <w:pPr>
        <w:spacing w:line="540" w:lineRule="exact"/>
        <w:ind w:right="-1" w:firstLine="640" w:firstLineChars="200"/>
        <w:jc w:val="left"/>
      </w:pPr>
      <w:r>
        <w:rPr>
          <w:rFonts w:ascii="仿宋_GB2312" w:hAnsi="仿宋_GB2312" w:eastAsia="仿宋_GB2312" w:cs="仿宋_GB2312"/>
          <w:color w:val="000000"/>
          <w:sz w:val="32"/>
        </w:rPr>
        <w:t xml:space="preserve">3、海关事务-行政运行（个人补助经费）项目绩效自评综述：根据年初设定的绩效目标，该项目绩效自评得分为93分。项目全年预算数为0.72万元，执行数为0.72万元，完成预算的100%。主要产出和效果：保障工作人员工作经费。发现的问题及原因：不存在问题及原因分析。下一步改进措施：无建议。  </w:t>
      </w:r>
    </w:p>
    <w:p>
      <w:pPr>
        <w:spacing w:line="540" w:lineRule="exact"/>
        <w:ind w:right="-1" w:firstLine="640" w:firstLineChars="200"/>
        <w:jc w:val="left"/>
      </w:pPr>
      <w:r>
        <w:rPr>
          <w:rFonts w:ascii="仿宋_GB2312" w:hAnsi="仿宋_GB2312" w:eastAsia="仿宋_GB2312" w:cs="仿宋_GB2312"/>
          <w:color w:val="000000"/>
          <w:sz w:val="32"/>
        </w:rPr>
        <w:t xml:space="preserve">4、喀什北部产业园及综保区配套设施建设项目绩效自评综述：根据年初设定的绩效目标，该项目绩效自评得分为92分。项目全年预算数为558.61万元，执行数为558.61万元，完成预算的100%。主要产出和效果：极大改善喀什投融环境、提升喀什的对外贸易竞争能力。发现的问题及原因：不存在问题及原因分析。下一步改进措施： 无建议。  </w:t>
      </w:r>
    </w:p>
    <w:p>
      <w:pPr>
        <w:spacing w:line="540" w:lineRule="exact"/>
        <w:ind w:right="-1" w:firstLine="640" w:firstLineChars="200"/>
        <w:jc w:val="left"/>
      </w:pPr>
      <w:r>
        <w:rPr>
          <w:rFonts w:ascii="仿宋_GB2312" w:hAnsi="仿宋_GB2312" w:eastAsia="仿宋_GB2312" w:cs="仿宋_GB2312"/>
          <w:color w:val="000000"/>
          <w:sz w:val="32"/>
        </w:rPr>
        <w:t xml:space="preserve">5、综保区宣传手册制作费用项目绩效自评综述：根据年初设定的绩效目标，该项目绩效自评得分为90分。项目全年预算数为0.7万元，执行数为0.7万元，完成预算的100%。主要产出和效果：有利于推广优惠政策，有利于招商工作。发现的问题及原因：不存在问题及原因分析。下一步改进措施：无建议。  </w:t>
      </w:r>
    </w:p>
    <w:p>
      <w:pPr>
        <w:spacing w:line="540" w:lineRule="exact"/>
        <w:ind w:right="-1" w:firstLine="640" w:firstLineChars="200"/>
        <w:jc w:val="left"/>
      </w:pPr>
      <w:r>
        <w:rPr>
          <w:rFonts w:ascii="仿宋_GB2312" w:hAnsi="仿宋_GB2312" w:eastAsia="仿宋_GB2312" w:cs="仿宋_GB2312"/>
          <w:color w:val="000000"/>
          <w:sz w:val="32"/>
        </w:rPr>
        <w:t xml:space="preserve">6、综保区视频汇报片制作费用项目绩效自评综述：根据年初设定的绩效目标，该项目绩效自评得分为89分。项目全年预算数为2.8万元，执行数为2.8万元，完成预算的100%。主要产出和效果：扩大了综保区的知晓度，更加直观的外界展示。发现的问题及原因：不存在问题及原因分析。下一步改进措施：无建议。  </w:t>
      </w:r>
    </w:p>
    <w:p>
      <w:pPr>
        <w:spacing w:line="540" w:lineRule="exact"/>
        <w:ind w:right="-1" w:firstLine="640" w:firstLineChars="200"/>
        <w:jc w:val="left"/>
      </w:pPr>
      <w:r>
        <w:rPr>
          <w:rFonts w:ascii="仿宋_GB2312" w:hAnsi="仿宋_GB2312" w:eastAsia="仿宋_GB2312" w:cs="仿宋_GB2312"/>
          <w:color w:val="000000"/>
          <w:sz w:val="32"/>
        </w:rPr>
        <w:t>7、加工贸易梯度转移专项资金项目绩效自评综述：根据年初设定的绩效目标，该项目绩效自评得分为56.3分。项目全年预算数为500万元，执行数为19.78万元，完成预算的3.96%。主要产出和效果：提升加工功能的能力，实现产能最大化。发现的问题及原因：硬件系统除</w:t>
      </w:r>
      <w:r>
        <w:rPr>
          <w:rFonts w:hint="eastAsia" w:ascii="仿宋_GB2312" w:hAnsi="仿宋_GB2312" w:eastAsia="仿宋_GB2312" w:cs="仿宋_GB2312"/>
          <w:color w:val="000000"/>
          <w:sz w:val="32"/>
          <w:lang w:eastAsia="zh-CN"/>
        </w:rPr>
        <w:t>跟踪</w:t>
      </w:r>
      <w:r>
        <w:rPr>
          <w:rFonts w:ascii="仿宋_GB2312" w:hAnsi="仿宋_GB2312" w:eastAsia="仿宋_GB2312" w:cs="仿宋_GB2312"/>
          <w:color w:val="000000"/>
          <w:sz w:val="32"/>
        </w:rPr>
        <w:t xml:space="preserve">未安装调试外，其余均完工。下一步改进措施： 应根据合同进度申请，支付款项。  </w:t>
      </w:r>
    </w:p>
    <w:p>
      <w:pPr>
        <w:spacing w:line="540" w:lineRule="exact"/>
        <w:ind w:right="-1" w:firstLine="640" w:firstLineChars="200"/>
        <w:jc w:val="left"/>
      </w:pPr>
      <w:r>
        <w:rPr>
          <w:rFonts w:ascii="仿宋_GB2312" w:hAnsi="仿宋_GB2312" w:eastAsia="仿宋_GB2312" w:cs="仿宋_GB2312"/>
          <w:color w:val="000000"/>
          <w:sz w:val="32"/>
        </w:rPr>
        <w:t xml:space="preserve">8、海关事务-行政运行项目绩效自评综述：根据年初设定的绩效目标，该项目绩效自评得分为89分。项目全年预算数为1.44万元，执行数为1.44万元，完成预算的100%。主要产出和效果：提高工作效率，确保援疆干部津贴。发现的问题及原因：不存在问题及原因分析。下一步改进措施：无建议。  </w:t>
      </w:r>
    </w:p>
    <w:p>
      <w:pPr>
        <w:spacing w:line="540" w:lineRule="exact"/>
        <w:ind w:right="-1" w:firstLine="640" w:firstLineChars="200"/>
        <w:jc w:val="left"/>
      </w:pPr>
      <w:r>
        <w:rPr>
          <w:rFonts w:ascii="仿宋_GB2312" w:hAnsi="仿宋_GB2312" w:eastAsia="仿宋_GB2312" w:cs="仿宋_GB2312"/>
          <w:color w:val="000000"/>
          <w:sz w:val="32"/>
        </w:rPr>
        <w:t xml:space="preserve">9、2015-2018年度查验无问题企业查验费返还项目绩效自评综述：根据年初设定的绩效目标，该项目绩效自评得分为86.1分。项目全年预算数为24.71万元，执行数为19万元，完成预算的76.89%。主要产出和效果：减小进出口企业物流成本，减轻企业经营压力。发现的问题及原因：各部门协调不足，工作流程需进一步优化。下一步改进措施： 后期先让企业提交资料，确定无问题后再申请费用。  </w:t>
      </w:r>
    </w:p>
    <w:p>
      <w:pPr>
        <w:spacing w:line="540" w:lineRule="exact"/>
        <w:ind w:right="-1" w:firstLine="640" w:firstLineChars="200"/>
        <w:jc w:val="left"/>
      </w:pPr>
      <w:r>
        <w:rPr>
          <w:rFonts w:ascii="仿宋_GB2312" w:hAnsi="仿宋_GB2312" w:eastAsia="仿宋_GB2312" w:cs="仿宋_GB2312"/>
          <w:color w:val="000000"/>
          <w:sz w:val="32"/>
        </w:rPr>
        <w:t>10、喀什综合保税区</w:t>
      </w:r>
      <w:r>
        <w:rPr>
          <w:rFonts w:hint="eastAsia" w:ascii="仿宋_GB2312" w:hAnsi="仿宋_GB2312" w:eastAsia="仿宋_GB2312" w:cs="仿宋_GB2312"/>
          <w:color w:val="000000"/>
          <w:sz w:val="32"/>
          <w:lang w:eastAsia="zh-CN"/>
        </w:rPr>
        <w:t>防护</w:t>
      </w:r>
      <w:r>
        <w:rPr>
          <w:rFonts w:ascii="仿宋_GB2312" w:hAnsi="仿宋_GB2312" w:eastAsia="仿宋_GB2312" w:cs="仿宋_GB2312"/>
          <w:color w:val="000000"/>
          <w:sz w:val="32"/>
        </w:rPr>
        <w:t xml:space="preserve">设施配备项目绩效自评综述：根据年初设定的绩效目标，该项目绩效自评得分为86分。项目全年预算数为3.67万元，执行数为3.67万元，完成预算的100%。主要产出和效果：通过认证识别，减少登记等待时间。发现的问题及原因：不存在问题及原因分析。下一步改进措施： 无建议。  </w:t>
      </w:r>
    </w:p>
    <w:p>
      <w:pPr>
        <w:spacing w:line="540" w:lineRule="exact"/>
        <w:ind w:right="-1" w:firstLine="640" w:firstLineChars="200"/>
        <w:jc w:val="left"/>
      </w:pPr>
      <w:r>
        <w:rPr>
          <w:rFonts w:ascii="仿宋_GB2312" w:hAnsi="仿宋_GB2312" w:eastAsia="仿宋_GB2312" w:cs="仿宋_GB2312"/>
          <w:color w:val="000000"/>
          <w:sz w:val="32"/>
        </w:rPr>
        <w:t xml:space="preserve">11、2018年度海关监管信息系统配套费项目绩效自评综述：根据年初设定的绩效目标，该项目绩效自评得分为84.4分。项目全年预算数为15万元，执行数为8.3万元，完成预算的55.33%。主要产出和效果：提高海关监管信息系统社会影响力，保证正常开展业务。发现的问题及原因：不存在问题及原因分析。下一步改进措施： 无建议。  </w:t>
      </w:r>
    </w:p>
    <w:p>
      <w:pPr>
        <w:spacing w:line="540" w:lineRule="exact"/>
        <w:ind w:right="-1" w:firstLine="640" w:firstLineChars="200"/>
        <w:jc w:val="left"/>
      </w:pPr>
      <w:r>
        <w:rPr>
          <w:rFonts w:ascii="仿宋_GB2312" w:hAnsi="仿宋_GB2312" w:eastAsia="仿宋_GB2312" w:cs="仿宋_GB2312"/>
          <w:color w:val="000000"/>
          <w:sz w:val="32"/>
        </w:rPr>
        <w:t xml:space="preserve">12、喀什综合保税区综合楼一层门厅铝合金门改造项目绩效自评综述：根据年初设定的绩效目标，该项目绩效自评得分为89分。项目全年预算数为1.52万元，执行数为1.52万元，完成预算的100%。主要产出和效果：大门改造质量达到合格标准并投入使用。发现的问题及原因：不存在问题及原因分析。下一步改进措施： 无建议。  </w:t>
      </w:r>
    </w:p>
    <w:p>
      <w:pPr>
        <w:spacing w:line="540" w:lineRule="exact"/>
        <w:ind w:right="-1" w:firstLine="640" w:firstLineChars="200"/>
        <w:jc w:val="left"/>
      </w:pPr>
      <w:r>
        <w:rPr>
          <w:rFonts w:ascii="仿宋_GB2312" w:hAnsi="仿宋_GB2312" w:eastAsia="仿宋_GB2312" w:cs="仿宋_GB2312"/>
          <w:color w:val="000000"/>
          <w:sz w:val="32"/>
        </w:rPr>
        <w:t xml:space="preserve">13、喀什国际航空货运区建设项目绩效自评综述：根据年初设定的绩效目标，该项目绩效自评得分为48.3分。项目全年预算数为5,015.8万元，执行数为178.02万元，完成预算的3.55%。主要产出和效果：项目前期手续已完成、主体还未实施。发现的问题及原因：手续复杂，坐标位置不明确等问题。下一步改进措施： 无建议。  </w:t>
      </w:r>
    </w:p>
    <w:p>
      <w:pPr>
        <w:spacing w:line="540" w:lineRule="exact"/>
        <w:ind w:right="-1" w:firstLine="640" w:firstLineChars="200"/>
        <w:jc w:val="left"/>
      </w:pPr>
      <w:r>
        <w:rPr>
          <w:rFonts w:ascii="仿宋_GB2312" w:hAnsi="仿宋_GB2312" w:eastAsia="仿宋_GB2312" w:cs="仿宋_GB2312"/>
          <w:color w:val="000000"/>
          <w:sz w:val="32"/>
        </w:rPr>
        <w:t xml:space="preserve">14、喀什海关工作经费项目绩效自评综述：根据年初设定的绩效目标，该项目绩效自评得分为86.4分。项目全年预算数为200万元，执行数为200万元，完成预算的100%。主要产出和效果：提高了通关效率，经济发展显著提升。发现的问题及原因：无法全面监管。下一步改进措施： 与海关加强沟通，切实可靠的监管资金。  </w:t>
      </w:r>
    </w:p>
    <w:p>
      <w:pPr>
        <w:spacing w:line="540" w:lineRule="exact"/>
        <w:ind w:right="-1" w:firstLine="640" w:firstLineChars="200"/>
        <w:jc w:val="left"/>
      </w:pPr>
      <w:r>
        <w:rPr>
          <w:rFonts w:ascii="仿宋_GB2312" w:hAnsi="仿宋_GB2312" w:eastAsia="仿宋_GB2312" w:cs="仿宋_GB2312"/>
          <w:color w:val="000000"/>
          <w:sz w:val="32"/>
        </w:rPr>
        <w:t xml:space="preserve">15、喀什综合保税区海关事务-其他海关事务支出项目绩效自评综述：根据年初设定的绩效目标，该项目绩效自评得分为87分。项目全年预算数为270.14万元，执行数为270.14万元，完成预算的100%。主要产出和效果：保障员工正常生活，提高工作热情。发现的问题及原因：不存在问题及原因分析。下一步改进措施： 无建议。  </w:t>
      </w:r>
    </w:p>
    <w:p>
      <w:pPr>
        <w:spacing w:line="540" w:lineRule="exact"/>
        <w:ind w:right="-1" w:firstLine="640" w:firstLineChars="200"/>
        <w:jc w:val="left"/>
      </w:pPr>
      <w:r>
        <w:rPr>
          <w:rFonts w:ascii="仿宋_GB2312" w:hAnsi="仿宋_GB2312" w:eastAsia="仿宋_GB2312" w:cs="仿宋_GB2312"/>
          <w:color w:val="000000"/>
          <w:sz w:val="32"/>
        </w:rPr>
        <w:t xml:space="preserve">16、边境地区转移支付资金　项目绩效自评综述：根据年初设定的绩效目标，该项目绩效自评得分为85分。项目全年预算数为60万元，执行数为0万元，完成预算的0%。主要产出和效果：通过组织综保区内企业对通关模式、监管系统等业务技术知识的培训，为综保区内企业开展进出口贸易业务提供便利，同时引导企业充分运用喀什区位优势及综保区的政策优势等大力开展业务，提升企业边贸经营能力。发现的问题及原因：因综保区开发建设主体缺少资金，喀什海关查验中心配套设施工程和喀什海关监管查验集中作业区海关监管系统项目因缺乏资金导致后续程序进展缓慢，一定程度上制约了综保区外贸企业的发展。下一步改进措施： 申请2018年度边境地区转移支付项目资金，用于建设喀什海关查验中心配套设施工程和喀什海关监管查验集中作业区海关监管系统项目。  </w:t>
      </w:r>
    </w:p>
    <w:p>
      <w:pPr>
        <w:spacing w:line="540" w:lineRule="exact"/>
        <w:ind w:firstLine="640" w:firstLineChars="200"/>
        <w:rPr>
          <w:rFonts w:ascii="仿宋_GB2312" w:eastAsia="仿宋_GB2312"/>
          <w:sz w:val="32"/>
          <w:szCs w:val="32"/>
        </w:rPr>
      </w:pPr>
      <w:r>
        <w:rPr>
          <w:rFonts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201（类）09（款）01（项）指：行政运行。201（类）13（款）08（项）指：招商引资。214（类）03（款）04（项）指：机场建设。201（类）09（款）99（项）指：其他海关事务支出。221（类）02（款）01（项）指：住房公积金。201（类）32（款）99（项）指：其他组织事务支出。216（类）06（款）99（项）指：其他涉外发展服务支出。205（类）02（款）01（项）指：学前教育。229（类）99（款）01（项）指：其他支出。201（类）99（款）99（项）指：其他一般公共服务支出。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_GBK">
    <w:altName w:val="Arial Unicode MS"/>
    <w:panose1 w:val="03000509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- 13 -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dit="comments" w:enforcement="1" w:cryptProviderType="rsaFull" w:cryptAlgorithmClass="hash" w:cryptAlgorithmType="typeAny" w:cryptAlgorithmSid="4" w:cryptSpinCount="0" w:hash="5pXe6ZOKSPmYSqDb9BFNYkd72VQ=" w:salt="QFbTlK3Ekn4GTx3bC2jEng=="/>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15A64"/>
    <w:rsid w:val="0002118A"/>
    <w:rsid w:val="00021887"/>
    <w:rsid w:val="00022242"/>
    <w:rsid w:val="00023F6E"/>
    <w:rsid w:val="0002523E"/>
    <w:rsid w:val="00025DC3"/>
    <w:rsid w:val="00040E57"/>
    <w:rsid w:val="00044097"/>
    <w:rsid w:val="00050E1F"/>
    <w:rsid w:val="00054305"/>
    <w:rsid w:val="0005566C"/>
    <w:rsid w:val="00060E28"/>
    <w:rsid w:val="0006121E"/>
    <w:rsid w:val="000635BD"/>
    <w:rsid w:val="00065838"/>
    <w:rsid w:val="000711BA"/>
    <w:rsid w:val="00080DEB"/>
    <w:rsid w:val="00083BBE"/>
    <w:rsid w:val="00083EBE"/>
    <w:rsid w:val="00091B9F"/>
    <w:rsid w:val="0009640E"/>
    <w:rsid w:val="000A2EE8"/>
    <w:rsid w:val="000A497E"/>
    <w:rsid w:val="000A7155"/>
    <w:rsid w:val="000A7773"/>
    <w:rsid w:val="000B08C5"/>
    <w:rsid w:val="000B206D"/>
    <w:rsid w:val="000B2C8D"/>
    <w:rsid w:val="000B6AD4"/>
    <w:rsid w:val="000B6C14"/>
    <w:rsid w:val="000B7C75"/>
    <w:rsid w:val="000C0190"/>
    <w:rsid w:val="000C1474"/>
    <w:rsid w:val="000C7811"/>
    <w:rsid w:val="000D21F9"/>
    <w:rsid w:val="000E0AB3"/>
    <w:rsid w:val="000E21E6"/>
    <w:rsid w:val="000E65F1"/>
    <w:rsid w:val="000E73E7"/>
    <w:rsid w:val="000E75AE"/>
    <w:rsid w:val="000F1279"/>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5321"/>
    <w:rsid w:val="00157F86"/>
    <w:rsid w:val="00163D9F"/>
    <w:rsid w:val="00164EBC"/>
    <w:rsid w:val="001669CC"/>
    <w:rsid w:val="00166DAB"/>
    <w:rsid w:val="00166E4B"/>
    <w:rsid w:val="00167DB8"/>
    <w:rsid w:val="00170C1A"/>
    <w:rsid w:val="00171B68"/>
    <w:rsid w:val="00173DD7"/>
    <w:rsid w:val="001759CB"/>
    <w:rsid w:val="00177527"/>
    <w:rsid w:val="00184AA3"/>
    <w:rsid w:val="00194099"/>
    <w:rsid w:val="001951FF"/>
    <w:rsid w:val="001A10E6"/>
    <w:rsid w:val="001A135B"/>
    <w:rsid w:val="001A1FDB"/>
    <w:rsid w:val="001A2A1A"/>
    <w:rsid w:val="001B3A06"/>
    <w:rsid w:val="001B5DF3"/>
    <w:rsid w:val="001C265A"/>
    <w:rsid w:val="001C26F2"/>
    <w:rsid w:val="001C38EB"/>
    <w:rsid w:val="001C40B2"/>
    <w:rsid w:val="001C4F2D"/>
    <w:rsid w:val="001C79E0"/>
    <w:rsid w:val="001D54E6"/>
    <w:rsid w:val="001D640A"/>
    <w:rsid w:val="001D65CB"/>
    <w:rsid w:val="001E197A"/>
    <w:rsid w:val="001E2962"/>
    <w:rsid w:val="001E6468"/>
    <w:rsid w:val="001E7F7F"/>
    <w:rsid w:val="001F0E21"/>
    <w:rsid w:val="001F1CB6"/>
    <w:rsid w:val="001F2FE9"/>
    <w:rsid w:val="001F3267"/>
    <w:rsid w:val="001F6948"/>
    <w:rsid w:val="0020033F"/>
    <w:rsid w:val="00200C57"/>
    <w:rsid w:val="00201CC4"/>
    <w:rsid w:val="00207AD5"/>
    <w:rsid w:val="0021204D"/>
    <w:rsid w:val="002127E3"/>
    <w:rsid w:val="002146E7"/>
    <w:rsid w:val="00216FD0"/>
    <w:rsid w:val="0022011C"/>
    <w:rsid w:val="00226DF0"/>
    <w:rsid w:val="00231C2E"/>
    <w:rsid w:val="00241293"/>
    <w:rsid w:val="00245135"/>
    <w:rsid w:val="002453A6"/>
    <w:rsid w:val="00247520"/>
    <w:rsid w:val="00251FC8"/>
    <w:rsid w:val="002546EA"/>
    <w:rsid w:val="00256471"/>
    <w:rsid w:val="00257943"/>
    <w:rsid w:val="002608FE"/>
    <w:rsid w:val="00271D59"/>
    <w:rsid w:val="0027418F"/>
    <w:rsid w:val="002767AD"/>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2F47"/>
    <w:rsid w:val="0033566D"/>
    <w:rsid w:val="003441F7"/>
    <w:rsid w:val="00344D62"/>
    <w:rsid w:val="00345984"/>
    <w:rsid w:val="00361388"/>
    <w:rsid w:val="00362FA4"/>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3234"/>
    <w:rsid w:val="003E4A05"/>
    <w:rsid w:val="003E5F5C"/>
    <w:rsid w:val="003E7D9E"/>
    <w:rsid w:val="003F37E0"/>
    <w:rsid w:val="00401A23"/>
    <w:rsid w:val="00401CA2"/>
    <w:rsid w:val="00405E6D"/>
    <w:rsid w:val="00411C55"/>
    <w:rsid w:val="00415648"/>
    <w:rsid w:val="00415BCE"/>
    <w:rsid w:val="00416351"/>
    <w:rsid w:val="0042015D"/>
    <w:rsid w:val="0042215C"/>
    <w:rsid w:val="004223DE"/>
    <w:rsid w:val="00424663"/>
    <w:rsid w:val="00425950"/>
    <w:rsid w:val="00430B78"/>
    <w:rsid w:val="00436D8A"/>
    <w:rsid w:val="00441209"/>
    <w:rsid w:val="00443568"/>
    <w:rsid w:val="00444981"/>
    <w:rsid w:val="0045026B"/>
    <w:rsid w:val="00453F94"/>
    <w:rsid w:val="004558AB"/>
    <w:rsid w:val="00457729"/>
    <w:rsid w:val="0047598D"/>
    <w:rsid w:val="004802CE"/>
    <w:rsid w:val="00486DB6"/>
    <w:rsid w:val="00487D16"/>
    <w:rsid w:val="00490FF3"/>
    <w:rsid w:val="004957F5"/>
    <w:rsid w:val="004976A5"/>
    <w:rsid w:val="004A0034"/>
    <w:rsid w:val="004A02D4"/>
    <w:rsid w:val="004A0690"/>
    <w:rsid w:val="004A2CA4"/>
    <w:rsid w:val="004A7A7B"/>
    <w:rsid w:val="004B401D"/>
    <w:rsid w:val="004B58A1"/>
    <w:rsid w:val="004B7BB8"/>
    <w:rsid w:val="004C351C"/>
    <w:rsid w:val="004C42F9"/>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1561C"/>
    <w:rsid w:val="00523B8A"/>
    <w:rsid w:val="00532585"/>
    <w:rsid w:val="00533FA0"/>
    <w:rsid w:val="0053657E"/>
    <w:rsid w:val="0054006F"/>
    <w:rsid w:val="00540C10"/>
    <w:rsid w:val="005464FA"/>
    <w:rsid w:val="0055742A"/>
    <w:rsid w:val="00560650"/>
    <w:rsid w:val="00567FB5"/>
    <w:rsid w:val="005770C3"/>
    <w:rsid w:val="00577753"/>
    <w:rsid w:val="00581AD2"/>
    <w:rsid w:val="005857A0"/>
    <w:rsid w:val="00587D18"/>
    <w:rsid w:val="00591E58"/>
    <w:rsid w:val="00592D42"/>
    <w:rsid w:val="005A5B02"/>
    <w:rsid w:val="005B3245"/>
    <w:rsid w:val="005B6754"/>
    <w:rsid w:val="005B75C0"/>
    <w:rsid w:val="005C3143"/>
    <w:rsid w:val="005D311B"/>
    <w:rsid w:val="005D559F"/>
    <w:rsid w:val="005D61D8"/>
    <w:rsid w:val="005E011D"/>
    <w:rsid w:val="005E3B86"/>
    <w:rsid w:val="005E4E6B"/>
    <w:rsid w:val="005E6995"/>
    <w:rsid w:val="005E7043"/>
    <w:rsid w:val="005E7C64"/>
    <w:rsid w:val="005F2A5A"/>
    <w:rsid w:val="005F2AEA"/>
    <w:rsid w:val="005F4FFE"/>
    <w:rsid w:val="00602C6F"/>
    <w:rsid w:val="00604ECA"/>
    <w:rsid w:val="006069FD"/>
    <w:rsid w:val="00610EE1"/>
    <w:rsid w:val="00613C84"/>
    <w:rsid w:val="0061632B"/>
    <w:rsid w:val="006168AD"/>
    <w:rsid w:val="00621929"/>
    <w:rsid w:val="0062266C"/>
    <w:rsid w:val="006250CB"/>
    <w:rsid w:val="00627F36"/>
    <w:rsid w:val="006304D1"/>
    <w:rsid w:val="00631DA8"/>
    <w:rsid w:val="0063431E"/>
    <w:rsid w:val="00645C30"/>
    <w:rsid w:val="0065497B"/>
    <w:rsid w:val="00654E41"/>
    <w:rsid w:val="00667D4E"/>
    <w:rsid w:val="0067149A"/>
    <w:rsid w:val="0069278A"/>
    <w:rsid w:val="00697D49"/>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1E8"/>
    <w:rsid w:val="006F5B6D"/>
    <w:rsid w:val="006F5BD8"/>
    <w:rsid w:val="006F7AA9"/>
    <w:rsid w:val="006F7AF9"/>
    <w:rsid w:val="007015B6"/>
    <w:rsid w:val="00701EC2"/>
    <w:rsid w:val="007021BE"/>
    <w:rsid w:val="00706C32"/>
    <w:rsid w:val="00707C9C"/>
    <w:rsid w:val="007106B4"/>
    <w:rsid w:val="007214A9"/>
    <w:rsid w:val="007214DF"/>
    <w:rsid w:val="007220B1"/>
    <w:rsid w:val="00724A4B"/>
    <w:rsid w:val="00727A14"/>
    <w:rsid w:val="007302C1"/>
    <w:rsid w:val="0073120F"/>
    <w:rsid w:val="007314F0"/>
    <w:rsid w:val="007324AF"/>
    <w:rsid w:val="0074240E"/>
    <w:rsid w:val="00742FA1"/>
    <w:rsid w:val="007476BA"/>
    <w:rsid w:val="00750798"/>
    <w:rsid w:val="00752BCF"/>
    <w:rsid w:val="0076538D"/>
    <w:rsid w:val="007714E5"/>
    <w:rsid w:val="00773D5E"/>
    <w:rsid w:val="00776FAF"/>
    <w:rsid w:val="00777229"/>
    <w:rsid w:val="007775E8"/>
    <w:rsid w:val="0078072D"/>
    <w:rsid w:val="00784108"/>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101A6"/>
    <w:rsid w:val="0081044D"/>
    <w:rsid w:val="00821E76"/>
    <w:rsid w:val="008259BC"/>
    <w:rsid w:val="0083105A"/>
    <w:rsid w:val="00837040"/>
    <w:rsid w:val="008427AB"/>
    <w:rsid w:val="008439F9"/>
    <w:rsid w:val="00847DCE"/>
    <w:rsid w:val="0085023C"/>
    <w:rsid w:val="00853966"/>
    <w:rsid w:val="00857827"/>
    <w:rsid w:val="00862CEF"/>
    <w:rsid w:val="00866A6C"/>
    <w:rsid w:val="00895252"/>
    <w:rsid w:val="008969FE"/>
    <w:rsid w:val="008A237C"/>
    <w:rsid w:val="008A2D2C"/>
    <w:rsid w:val="008A3633"/>
    <w:rsid w:val="008B2514"/>
    <w:rsid w:val="008B4607"/>
    <w:rsid w:val="008B5C78"/>
    <w:rsid w:val="008C030F"/>
    <w:rsid w:val="008C3836"/>
    <w:rsid w:val="008D046E"/>
    <w:rsid w:val="008E28BD"/>
    <w:rsid w:val="008E4EAC"/>
    <w:rsid w:val="008E541E"/>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354F6"/>
    <w:rsid w:val="00940134"/>
    <w:rsid w:val="00943A3E"/>
    <w:rsid w:val="00944CCC"/>
    <w:rsid w:val="00945E7F"/>
    <w:rsid w:val="00947403"/>
    <w:rsid w:val="0095057C"/>
    <w:rsid w:val="009543BA"/>
    <w:rsid w:val="00954FB4"/>
    <w:rsid w:val="0095754B"/>
    <w:rsid w:val="00960925"/>
    <w:rsid w:val="00970AB3"/>
    <w:rsid w:val="00982C13"/>
    <w:rsid w:val="00985DF4"/>
    <w:rsid w:val="00987E45"/>
    <w:rsid w:val="0099241E"/>
    <w:rsid w:val="009942F3"/>
    <w:rsid w:val="00994950"/>
    <w:rsid w:val="0099652B"/>
    <w:rsid w:val="009A0831"/>
    <w:rsid w:val="009A44FB"/>
    <w:rsid w:val="009A5CDE"/>
    <w:rsid w:val="009A7040"/>
    <w:rsid w:val="009B3F92"/>
    <w:rsid w:val="009C3CE9"/>
    <w:rsid w:val="009C6A82"/>
    <w:rsid w:val="009D13F2"/>
    <w:rsid w:val="009D15D2"/>
    <w:rsid w:val="009D4D97"/>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4617D"/>
    <w:rsid w:val="00A467C6"/>
    <w:rsid w:val="00A55F77"/>
    <w:rsid w:val="00A72457"/>
    <w:rsid w:val="00A86966"/>
    <w:rsid w:val="00A872D8"/>
    <w:rsid w:val="00A912CC"/>
    <w:rsid w:val="00A970D1"/>
    <w:rsid w:val="00AA57AE"/>
    <w:rsid w:val="00AB0AFB"/>
    <w:rsid w:val="00AC002C"/>
    <w:rsid w:val="00AC1DD9"/>
    <w:rsid w:val="00AC4218"/>
    <w:rsid w:val="00AD13C4"/>
    <w:rsid w:val="00AD3489"/>
    <w:rsid w:val="00AD3E2D"/>
    <w:rsid w:val="00AD51DD"/>
    <w:rsid w:val="00AE5C1B"/>
    <w:rsid w:val="00AE79D8"/>
    <w:rsid w:val="00AE7BAC"/>
    <w:rsid w:val="00AF09FB"/>
    <w:rsid w:val="00B00C16"/>
    <w:rsid w:val="00B03B3E"/>
    <w:rsid w:val="00B046A4"/>
    <w:rsid w:val="00B06382"/>
    <w:rsid w:val="00B0733F"/>
    <w:rsid w:val="00B10701"/>
    <w:rsid w:val="00B10AF5"/>
    <w:rsid w:val="00B146E7"/>
    <w:rsid w:val="00B30B86"/>
    <w:rsid w:val="00B32A4F"/>
    <w:rsid w:val="00B358E2"/>
    <w:rsid w:val="00B40CB6"/>
    <w:rsid w:val="00B4203A"/>
    <w:rsid w:val="00B50AD6"/>
    <w:rsid w:val="00B51AB3"/>
    <w:rsid w:val="00B5337C"/>
    <w:rsid w:val="00B5340F"/>
    <w:rsid w:val="00B611F7"/>
    <w:rsid w:val="00B6765D"/>
    <w:rsid w:val="00B717C5"/>
    <w:rsid w:val="00B718B8"/>
    <w:rsid w:val="00B73C33"/>
    <w:rsid w:val="00B75463"/>
    <w:rsid w:val="00B76C9B"/>
    <w:rsid w:val="00B90F21"/>
    <w:rsid w:val="00B93445"/>
    <w:rsid w:val="00B94F7E"/>
    <w:rsid w:val="00B95F83"/>
    <w:rsid w:val="00B965C5"/>
    <w:rsid w:val="00B96E34"/>
    <w:rsid w:val="00B9729A"/>
    <w:rsid w:val="00BB0177"/>
    <w:rsid w:val="00BB3A31"/>
    <w:rsid w:val="00BC1A56"/>
    <w:rsid w:val="00BC2D65"/>
    <w:rsid w:val="00BD1F2C"/>
    <w:rsid w:val="00BD2BBE"/>
    <w:rsid w:val="00BD7EF8"/>
    <w:rsid w:val="00BE0FEE"/>
    <w:rsid w:val="00BE4817"/>
    <w:rsid w:val="00BE721C"/>
    <w:rsid w:val="00BF0DC7"/>
    <w:rsid w:val="00BF1F54"/>
    <w:rsid w:val="00BF31AA"/>
    <w:rsid w:val="00C04782"/>
    <w:rsid w:val="00C04F2D"/>
    <w:rsid w:val="00C238F0"/>
    <w:rsid w:val="00C25CC6"/>
    <w:rsid w:val="00C31297"/>
    <w:rsid w:val="00C61A9B"/>
    <w:rsid w:val="00C66BD8"/>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36A8D"/>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4BC1"/>
    <w:rsid w:val="00E55774"/>
    <w:rsid w:val="00E56018"/>
    <w:rsid w:val="00E57FE6"/>
    <w:rsid w:val="00E64B7B"/>
    <w:rsid w:val="00E66654"/>
    <w:rsid w:val="00E709FC"/>
    <w:rsid w:val="00E7154C"/>
    <w:rsid w:val="00E74817"/>
    <w:rsid w:val="00E75B6D"/>
    <w:rsid w:val="00E76C2B"/>
    <w:rsid w:val="00E8294F"/>
    <w:rsid w:val="00E870C3"/>
    <w:rsid w:val="00E8738A"/>
    <w:rsid w:val="00E916E5"/>
    <w:rsid w:val="00E92780"/>
    <w:rsid w:val="00E92F11"/>
    <w:rsid w:val="00E95399"/>
    <w:rsid w:val="00E95FBD"/>
    <w:rsid w:val="00E9654C"/>
    <w:rsid w:val="00EA1A1C"/>
    <w:rsid w:val="00EA34EF"/>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05960"/>
    <w:rsid w:val="00F113F4"/>
    <w:rsid w:val="00F13479"/>
    <w:rsid w:val="00F14CE8"/>
    <w:rsid w:val="00F1625A"/>
    <w:rsid w:val="00F17C93"/>
    <w:rsid w:val="00F50BA2"/>
    <w:rsid w:val="00F5664D"/>
    <w:rsid w:val="00F6771B"/>
    <w:rsid w:val="00F703C3"/>
    <w:rsid w:val="00F80799"/>
    <w:rsid w:val="00F8162A"/>
    <w:rsid w:val="00F81776"/>
    <w:rsid w:val="00F835AD"/>
    <w:rsid w:val="00F83D56"/>
    <w:rsid w:val="00F844FD"/>
    <w:rsid w:val="00F869A3"/>
    <w:rsid w:val="00F86FB3"/>
    <w:rsid w:val="00F93037"/>
    <w:rsid w:val="00F97BF1"/>
    <w:rsid w:val="00FA29D8"/>
    <w:rsid w:val="00FA5F5D"/>
    <w:rsid w:val="00FB0BA6"/>
    <w:rsid w:val="00FC29A0"/>
    <w:rsid w:val="00FC6C17"/>
    <w:rsid w:val="00FD2B63"/>
    <w:rsid w:val="00FE48DB"/>
    <w:rsid w:val="00FF3620"/>
    <w:rsid w:val="00FF3A84"/>
    <w:rsid w:val="01110239"/>
    <w:rsid w:val="028847F9"/>
    <w:rsid w:val="03AA79F6"/>
    <w:rsid w:val="04741FE5"/>
    <w:rsid w:val="04DB02C7"/>
    <w:rsid w:val="06B856EE"/>
    <w:rsid w:val="07FE5938"/>
    <w:rsid w:val="084604BC"/>
    <w:rsid w:val="08883825"/>
    <w:rsid w:val="09725983"/>
    <w:rsid w:val="0A382BB5"/>
    <w:rsid w:val="0AA4543A"/>
    <w:rsid w:val="0BE61132"/>
    <w:rsid w:val="0C9B0DD6"/>
    <w:rsid w:val="0CE4791C"/>
    <w:rsid w:val="0E063C64"/>
    <w:rsid w:val="0F4C7B96"/>
    <w:rsid w:val="0FFB575E"/>
    <w:rsid w:val="10845F1B"/>
    <w:rsid w:val="11463A00"/>
    <w:rsid w:val="11600918"/>
    <w:rsid w:val="11B0398F"/>
    <w:rsid w:val="13B960C5"/>
    <w:rsid w:val="152777F4"/>
    <w:rsid w:val="15C674B6"/>
    <w:rsid w:val="18D54A0D"/>
    <w:rsid w:val="1A4106A0"/>
    <w:rsid w:val="1A4F5437"/>
    <w:rsid w:val="1AB77CD0"/>
    <w:rsid w:val="1E807156"/>
    <w:rsid w:val="1EA657F6"/>
    <w:rsid w:val="1F097CB6"/>
    <w:rsid w:val="2166156B"/>
    <w:rsid w:val="21B02D83"/>
    <w:rsid w:val="22A236F5"/>
    <w:rsid w:val="23995975"/>
    <w:rsid w:val="2432220E"/>
    <w:rsid w:val="248303BA"/>
    <w:rsid w:val="24837E47"/>
    <w:rsid w:val="252E01AA"/>
    <w:rsid w:val="2680023E"/>
    <w:rsid w:val="29680352"/>
    <w:rsid w:val="2A020F75"/>
    <w:rsid w:val="2B007AEE"/>
    <w:rsid w:val="2BC14C56"/>
    <w:rsid w:val="2C1B026F"/>
    <w:rsid w:val="2CC61F55"/>
    <w:rsid w:val="2EF7452F"/>
    <w:rsid w:val="2F1D13B4"/>
    <w:rsid w:val="2FAA3DA6"/>
    <w:rsid w:val="30682E1F"/>
    <w:rsid w:val="30E210D2"/>
    <w:rsid w:val="311371D6"/>
    <w:rsid w:val="31EB64C9"/>
    <w:rsid w:val="336D0D6F"/>
    <w:rsid w:val="352E4BEC"/>
    <w:rsid w:val="37DD5594"/>
    <w:rsid w:val="38F24FA8"/>
    <w:rsid w:val="3A98342A"/>
    <w:rsid w:val="3AB6780E"/>
    <w:rsid w:val="3AD56D70"/>
    <w:rsid w:val="3B2920C2"/>
    <w:rsid w:val="3BE41ABD"/>
    <w:rsid w:val="3C5421A9"/>
    <w:rsid w:val="3D903B21"/>
    <w:rsid w:val="3F440741"/>
    <w:rsid w:val="41FC306C"/>
    <w:rsid w:val="44BE5554"/>
    <w:rsid w:val="451E0908"/>
    <w:rsid w:val="452C2D31"/>
    <w:rsid w:val="45D26E14"/>
    <w:rsid w:val="46A541B1"/>
    <w:rsid w:val="4778369D"/>
    <w:rsid w:val="48C57772"/>
    <w:rsid w:val="49782886"/>
    <w:rsid w:val="4A6F0D28"/>
    <w:rsid w:val="4AAF085C"/>
    <w:rsid w:val="4AEB7E60"/>
    <w:rsid w:val="4B4B135B"/>
    <w:rsid w:val="4BC7055F"/>
    <w:rsid w:val="4CFC7DB2"/>
    <w:rsid w:val="4E7C187D"/>
    <w:rsid w:val="508941AD"/>
    <w:rsid w:val="50E65530"/>
    <w:rsid w:val="51457139"/>
    <w:rsid w:val="51574DBD"/>
    <w:rsid w:val="51EC1DA8"/>
    <w:rsid w:val="52FC5524"/>
    <w:rsid w:val="532D7A17"/>
    <w:rsid w:val="54AF4562"/>
    <w:rsid w:val="54C9674B"/>
    <w:rsid w:val="556318EA"/>
    <w:rsid w:val="55A60AA1"/>
    <w:rsid w:val="56451615"/>
    <w:rsid w:val="57FC5774"/>
    <w:rsid w:val="59B332C9"/>
    <w:rsid w:val="5A44758A"/>
    <w:rsid w:val="5B77013C"/>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5C613BD"/>
    <w:rsid w:val="65FD118C"/>
    <w:rsid w:val="682C3D89"/>
    <w:rsid w:val="68611305"/>
    <w:rsid w:val="6A162DE0"/>
    <w:rsid w:val="6A331428"/>
    <w:rsid w:val="6B2E5CB6"/>
    <w:rsid w:val="6B3D4886"/>
    <w:rsid w:val="6DF8675E"/>
    <w:rsid w:val="6EA80098"/>
    <w:rsid w:val="6F8D70FF"/>
    <w:rsid w:val="6FFE5011"/>
    <w:rsid w:val="7178734D"/>
    <w:rsid w:val="71791096"/>
    <w:rsid w:val="717B0C34"/>
    <w:rsid w:val="71FB78FD"/>
    <w:rsid w:val="7275064A"/>
    <w:rsid w:val="72F178A7"/>
    <w:rsid w:val="733C3F9D"/>
    <w:rsid w:val="733F750B"/>
    <w:rsid w:val="735702E2"/>
    <w:rsid w:val="765F635A"/>
    <w:rsid w:val="76B73454"/>
    <w:rsid w:val="76D254BD"/>
    <w:rsid w:val="77727ACD"/>
    <w:rsid w:val="78071142"/>
    <w:rsid w:val="79296B37"/>
    <w:rsid w:val="7A4C4C40"/>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1239</Words>
  <Characters>7068</Characters>
  <Lines>58</Lines>
  <Paragraphs>16</Paragraphs>
  <TotalTime>337</TotalTime>
  <ScaleCrop>false</ScaleCrop>
  <LinksUpToDate>false</LinksUpToDate>
  <CharactersWithSpaces>8291</CharactersWithSpaces>
  <Application>WPS Office_11.1.0.9208_F1E327BC-269C-435d-A152-05C5408002CA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Administrator</cp:lastModifiedBy>
  <dcterms:modified xsi:type="dcterms:W3CDTF">2021-05-30T02:57:58Z</dcterms:modified>
  <cp:revision>849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