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spacing w:line="540" w:lineRule="exact"/>
        <w:jc w:val="center"/>
        <w:rPr>
          <w:rFonts w:ascii="华文中宋" w:hAnsi="华文中宋" w:eastAsia="华文中宋" w:cs="华文中宋"/>
          <w:b/>
          <w:bCs/>
          <w:color w:val="auto"/>
          <w:kern w:val="0"/>
          <w:sz w:val="52"/>
          <w:szCs w:val="52"/>
          <w:shd w:val="clear" w:color="auto" w:fill="auto"/>
        </w:rPr>
      </w:pPr>
    </w:p>
    <w:p>
      <w:pPr>
        <w:pStyle w:val="51"/>
        <w:spacing w:line="540" w:lineRule="exact"/>
        <w:jc w:val="both"/>
        <w:rPr>
          <w:rFonts w:ascii="华文中宋" w:hAnsi="华文中宋" w:eastAsia="华文中宋" w:cs="华文中宋"/>
          <w:b/>
          <w:bCs/>
          <w:color w:val="auto"/>
          <w:kern w:val="0"/>
          <w:sz w:val="52"/>
          <w:szCs w:val="52"/>
          <w:shd w:val="clear" w:color="auto" w:fill="auto"/>
        </w:rPr>
      </w:pPr>
    </w:p>
    <w:p>
      <w:pPr>
        <w:pStyle w:val="51"/>
        <w:spacing w:line="540" w:lineRule="exact"/>
        <w:jc w:val="both"/>
        <w:rPr>
          <w:rFonts w:ascii="华文中宋" w:hAnsi="华文中宋" w:eastAsia="华文中宋" w:cs="华文中宋"/>
          <w:b/>
          <w:bCs/>
          <w:color w:val="auto"/>
          <w:kern w:val="0"/>
          <w:sz w:val="52"/>
          <w:szCs w:val="52"/>
          <w:shd w:val="clear" w:color="auto" w:fill="auto"/>
        </w:rPr>
      </w:pPr>
    </w:p>
    <w:p>
      <w:pPr>
        <w:pStyle w:val="51"/>
        <w:spacing w:line="540" w:lineRule="exact"/>
        <w:jc w:val="center"/>
        <w:rPr>
          <w:rFonts w:ascii="华文中宋" w:hAnsi="华文中宋" w:eastAsia="华文中宋" w:cs="华文中宋"/>
          <w:b/>
          <w:bCs/>
          <w:color w:val="auto"/>
          <w:kern w:val="0"/>
          <w:sz w:val="52"/>
          <w:szCs w:val="52"/>
          <w:shd w:val="clear" w:color="auto" w:fill="auto"/>
        </w:rPr>
      </w:pPr>
    </w:p>
    <w:p>
      <w:pPr>
        <w:pStyle w:val="51"/>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36"/>
          <w:szCs w:val="36"/>
        </w:rPr>
      </w:pPr>
      <w:r>
        <w:rPr>
          <w:rFonts w:hint="eastAsia" w:asciiTheme="minorEastAsia" w:hAnsiTheme="minorEastAsia" w:eastAsiaTheme="minorEastAsia" w:cstheme="minorEastAsia"/>
          <w:b/>
          <w:kern w:val="0"/>
          <w:sz w:val="44"/>
          <w:szCs w:val="44"/>
        </w:rPr>
        <w:t>自治区财政项目支出绩效自评报告</w:t>
      </w:r>
    </w:p>
    <w:p>
      <w:pPr>
        <w:spacing w:line="540" w:lineRule="exact"/>
        <w:jc w:val="center"/>
        <w:rPr>
          <w:rFonts w:hint="eastAsia" w:asciiTheme="minorEastAsia" w:hAnsiTheme="minorEastAsia" w:eastAsiaTheme="minorEastAsia" w:cstheme="minorEastAsia"/>
          <w:b/>
          <w:kern w:val="0"/>
          <w:sz w:val="36"/>
          <w:szCs w:val="36"/>
        </w:rPr>
      </w:pPr>
    </w:p>
    <w:p>
      <w:pPr>
        <w:spacing w:line="540" w:lineRule="exact"/>
        <w:jc w:val="center"/>
        <w:rPr>
          <w:rFonts w:hint="eastAsia"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（2018年度）</w:t>
      </w: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700" w:lineRule="exact"/>
        <w:ind w:firstLine="1080" w:firstLineChars="300"/>
        <w:jc w:val="left"/>
        <w:rPr>
          <w:rFonts w:hint="eastAsia" w:asciiTheme="minorEastAsia" w:hAnsiTheme="minorEastAsia" w:eastAsiaTheme="minorEastAsia" w:cstheme="minorEastAsia"/>
          <w:kern w:val="0"/>
          <w:sz w:val="36"/>
          <w:szCs w:val="36"/>
        </w:rPr>
      </w:pPr>
    </w:p>
    <w:p>
      <w:pPr>
        <w:spacing w:line="700" w:lineRule="exact"/>
        <w:ind w:firstLine="1080" w:firstLineChars="300"/>
        <w:jc w:val="left"/>
        <w:rPr>
          <w:rFonts w:hint="eastAsia"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项目名称：喀什国际航空货运区建设项目</w:t>
      </w:r>
    </w:p>
    <w:p>
      <w:pPr>
        <w:spacing w:line="700" w:lineRule="exact"/>
        <w:ind w:firstLine="1080" w:firstLineChars="300"/>
        <w:jc w:val="left"/>
        <w:rPr>
          <w:rFonts w:hint="eastAsia"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实施单位（公章）：喀什综合保税区管委会</w:t>
      </w:r>
    </w:p>
    <w:p>
      <w:pPr>
        <w:spacing w:line="700" w:lineRule="exact"/>
        <w:ind w:firstLine="1080" w:firstLineChars="300"/>
        <w:jc w:val="left"/>
        <w:rPr>
          <w:rFonts w:hint="eastAsia"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主管部门（公章）： 喀什综合保税区管委会</w:t>
      </w:r>
    </w:p>
    <w:p>
      <w:pPr>
        <w:spacing w:line="700" w:lineRule="exact"/>
        <w:ind w:firstLine="1080" w:firstLineChars="300"/>
        <w:jc w:val="left"/>
        <w:rPr>
          <w:rFonts w:hint="eastAsia" w:asciiTheme="minorEastAsia" w:hAnsiTheme="minorEastAsia" w:eastAsiaTheme="minorEastAsia" w:cstheme="minorEastAsia"/>
          <w:kern w:val="0"/>
          <w:sz w:val="36"/>
          <w:szCs w:val="36"/>
        </w:rPr>
      </w:pPr>
      <w:r>
        <w:rPr>
          <w:rFonts w:hint="eastAsia" w:asciiTheme="minorEastAsia" w:hAnsiTheme="minorEastAsia" w:eastAsiaTheme="minorEastAsia" w:cstheme="minorEastAsia"/>
          <w:kern w:val="0"/>
          <w:sz w:val="36"/>
          <w:szCs w:val="36"/>
        </w:rPr>
        <w:t>项目负责人（签章）： 白灿</w:t>
      </w:r>
    </w:p>
    <w:p>
      <w:pPr>
        <w:spacing w:line="700" w:lineRule="exact"/>
        <w:ind w:firstLine="1080" w:firstLineChars="300"/>
        <w:jc w:val="left"/>
        <w:rPr>
          <w:rStyle w:val="22"/>
          <w:rFonts w:hint="eastAsia" w:ascii="黑体" w:hAnsi="黑体" w:eastAsia="黑体"/>
          <w:b w:val="0"/>
          <w:color w:val="auto"/>
          <w:spacing w:val="-4"/>
          <w:sz w:val="32"/>
          <w:szCs w:val="32"/>
          <w:shd w:val="clear" w:color="auto" w:fill="auto"/>
        </w:rPr>
      </w:pPr>
      <w:r>
        <w:rPr>
          <w:rFonts w:hint="eastAsia" w:asciiTheme="minorEastAsia" w:hAnsiTheme="minorEastAsia" w:eastAsiaTheme="minorEastAsia" w:cstheme="minorEastAsia"/>
          <w:kern w:val="0"/>
          <w:sz w:val="36"/>
          <w:szCs w:val="36"/>
        </w:rPr>
        <w:t>填报时间：2019年3月9日</w:t>
      </w:r>
    </w:p>
    <w:p>
      <w:pPr>
        <w:pStyle w:val="51"/>
        <w:spacing w:line="700" w:lineRule="exact"/>
        <w:jc w:val="left"/>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（一）项目单位基本情况</w:t>
      </w:r>
    </w:p>
    <w:p>
      <w:pPr>
        <w:adjustRightInd w:val="0"/>
        <w:snapToGrid w:val="0"/>
        <w:spacing w:line="560" w:lineRule="exact"/>
        <w:ind w:firstLine="640" w:firstLineChars="200"/>
        <w:rPr>
          <w:rStyle w:val="22"/>
          <w:rFonts w:ascii="仿宋" w:hAnsi="仿宋" w:eastAsia="仿宋"/>
          <w:b w:val="0"/>
          <w:spacing w:val="-4"/>
          <w:sz w:val="32"/>
          <w:szCs w:val="32"/>
        </w:rPr>
      </w:pPr>
      <w:r>
        <w:rPr>
          <w:rFonts w:hint="eastAsia" w:ascii="仿宋" w:hAnsi="仿宋" w:eastAsia="仿宋" w:cs="仿宋"/>
          <w:sz w:val="32"/>
          <w:szCs w:val="32"/>
          <w:lang w:val="en-US" w:eastAsia="zh-CN"/>
        </w:rPr>
        <w:t>喀什综合保税区</w:t>
      </w:r>
      <w:r>
        <w:rPr>
          <w:rFonts w:hint="eastAsia" w:ascii="仿宋" w:hAnsi="仿宋" w:eastAsia="仿宋" w:cs="仿宋"/>
          <w:sz w:val="32"/>
          <w:szCs w:val="32"/>
        </w:rPr>
        <w:t>是南疆四地州唯一的海关特殊监管区域，</w:t>
      </w:r>
      <w:r>
        <w:rPr>
          <w:rFonts w:hint="eastAsia" w:ascii="仿宋" w:hAnsi="仿宋" w:eastAsia="仿宋" w:cs="仿宋"/>
          <w:sz w:val="32"/>
          <w:szCs w:val="32"/>
          <w:lang w:eastAsia="zh-CN"/>
        </w:rPr>
        <w:t>我国向西</w:t>
      </w:r>
      <w:r>
        <w:rPr>
          <w:rFonts w:hint="eastAsia" w:ascii="仿宋" w:hAnsi="仿宋" w:eastAsia="仿宋" w:cs="仿宋"/>
          <w:sz w:val="32"/>
          <w:szCs w:val="32"/>
        </w:rPr>
        <w:t>开放窗口</w:t>
      </w:r>
      <w:r>
        <w:rPr>
          <w:rFonts w:hint="eastAsia" w:ascii="仿宋" w:hAnsi="仿宋" w:eastAsia="仿宋" w:cs="仿宋"/>
          <w:sz w:val="32"/>
          <w:szCs w:val="32"/>
          <w:lang w:eastAsia="zh-CN"/>
        </w:rPr>
        <w:t>，</w:t>
      </w:r>
      <w:r>
        <w:rPr>
          <w:rFonts w:hint="eastAsia" w:ascii="仿宋" w:hAnsi="仿宋" w:eastAsia="仿宋" w:cs="仿宋"/>
          <w:sz w:val="32"/>
          <w:szCs w:val="32"/>
        </w:rPr>
        <w:t>2012年4月13日开工建设，2014年9月2日获得国务院批复，2015年1月8日通过了由海关总署牵头的国家十部委联合验收，4月20日正式封关运营</w:t>
      </w:r>
      <w:r>
        <w:rPr>
          <w:rFonts w:hint="eastAsia" w:ascii="仿宋" w:hAnsi="仿宋" w:eastAsia="仿宋" w:cs="仿宋"/>
          <w:sz w:val="32"/>
          <w:szCs w:val="32"/>
          <w:lang w:eastAsia="zh-CN"/>
        </w:rPr>
        <w:t>。</w:t>
      </w:r>
      <w:r>
        <w:rPr>
          <w:rFonts w:hint="eastAsia" w:ascii="仿宋" w:hAnsi="仿宋" w:eastAsia="仿宋" w:cs="仿宋"/>
          <w:sz w:val="32"/>
          <w:szCs w:val="32"/>
        </w:rPr>
        <w:t>规划有保税仓储、保税加工、口岸操作、航空货运和综合配套服务等五大功能区，具备保税仓储、国际中转、国际采购、国际配送、国际转口贸易和保税加工等功能</w:t>
      </w:r>
      <w:r>
        <w:rPr>
          <w:rFonts w:hint="eastAsia" w:ascii="仿宋" w:hAnsi="仿宋" w:eastAsia="仿宋" w:cs="仿宋"/>
          <w:sz w:val="32"/>
          <w:szCs w:val="32"/>
          <w:lang w:eastAsia="zh-CN"/>
        </w:rPr>
        <w:t>。</w:t>
      </w:r>
      <w:r>
        <w:rPr>
          <w:rStyle w:val="22"/>
          <w:rFonts w:hint="eastAsia" w:ascii="仿宋" w:hAnsi="仿宋" w:eastAsia="仿宋"/>
          <w:b w:val="0"/>
          <w:spacing w:val="-4"/>
          <w:sz w:val="32"/>
          <w:szCs w:val="32"/>
        </w:rPr>
        <w:t>编制数9人，其中：行政人员编制4人，参照公务员管理的事业单位人员编制0人，全额拨款事业单位人员编制5人。</w:t>
      </w:r>
    </w:p>
    <w:p>
      <w:pPr>
        <w:adjustRightInd w:val="0"/>
        <w:snapToGrid w:val="0"/>
        <w:spacing w:line="560" w:lineRule="exact"/>
        <w:ind w:firstLine="627" w:firstLineChars="20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（二）项目预算</w:t>
      </w:r>
      <w:r>
        <w:rPr>
          <w:rStyle w:val="22"/>
          <w:rFonts w:ascii="楷体" w:hAnsi="楷体" w:eastAsia="楷体"/>
          <w:color w:val="auto"/>
          <w:spacing w:val="-4"/>
          <w:sz w:val="32"/>
          <w:szCs w:val="32"/>
          <w:shd w:val="clear" w:color="auto" w:fill="auto"/>
        </w:rPr>
        <w:t>绩效目标</w:t>
      </w:r>
      <w:r>
        <w:rPr>
          <w:rStyle w:val="22"/>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adjustRightInd w:val="0"/>
        <w:snapToGrid w:val="0"/>
        <w:spacing w:line="560" w:lineRule="exact"/>
        <w:ind w:firstLine="624" w:firstLineChars="200"/>
        <w:rPr>
          <w:rFonts w:hint="eastAsia" w:ascii="仿宋" w:hAnsi="仿宋" w:eastAsia="仿宋"/>
          <w:b w:val="0"/>
          <w:bCs w:val="0"/>
          <w:color w:val="auto"/>
          <w:spacing w:val="-4"/>
          <w:sz w:val="32"/>
          <w:szCs w:val="32"/>
          <w:shd w:val="clear" w:color="auto" w:fill="auto"/>
          <w:lang w:val="en-US" w:eastAsia="zh-CN"/>
        </w:rPr>
      </w:pPr>
      <w:r>
        <w:rPr>
          <w:rFonts w:hint="eastAsia" w:ascii="仿宋" w:hAnsi="仿宋" w:eastAsia="仿宋"/>
          <w:b w:val="0"/>
          <w:bCs w:val="0"/>
          <w:color w:val="auto"/>
          <w:spacing w:val="-4"/>
          <w:sz w:val="32"/>
          <w:szCs w:val="32"/>
          <w:shd w:val="clear" w:color="auto" w:fill="auto"/>
          <w:lang w:eastAsia="zh-CN"/>
        </w:rPr>
        <w:t>本项目</w:t>
      </w:r>
      <w:r>
        <w:rPr>
          <w:rFonts w:hint="eastAsia" w:ascii="仿宋" w:hAnsi="仿宋" w:eastAsia="仿宋"/>
          <w:b w:val="0"/>
          <w:bCs w:val="0"/>
          <w:color w:val="auto"/>
          <w:spacing w:val="-4"/>
          <w:sz w:val="32"/>
          <w:szCs w:val="32"/>
          <w:shd w:val="clear" w:color="auto" w:fill="auto"/>
          <w:lang w:val="en-US" w:eastAsia="zh-CN"/>
        </w:rPr>
        <w:t>2018年目标是：2018年5月底完成初步设计及评审，7月完成施工图设计，9月完成项目招标，10月准备开工建设；</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rPr>
        <w:t>延续</w:t>
      </w:r>
      <w:r>
        <w:rPr>
          <w:rFonts w:hint="eastAsia" w:ascii="仿宋" w:hAnsi="仿宋" w:eastAsia="仿宋"/>
          <w:bCs/>
          <w:color w:val="auto"/>
          <w:spacing w:val="-4"/>
          <w:sz w:val="32"/>
          <w:szCs w:val="32"/>
          <w:shd w:val="clear" w:color="auto" w:fill="auto"/>
          <w:lang w:val="en-US" w:eastAsia="zh-CN"/>
        </w:rPr>
        <w:t>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spacing w:line="520" w:lineRule="exact"/>
        <w:ind w:firstLine="640" w:firstLineChars="200"/>
        <w:rPr>
          <w:rFonts w:ascii="仿宋" w:hAnsi="仿宋" w:eastAsia="仿宋" w:cs="仿宋"/>
          <w:sz w:val="32"/>
          <w:szCs w:val="32"/>
        </w:rPr>
      </w:pPr>
      <w:r>
        <w:rPr>
          <w:rFonts w:hint="eastAsia" w:ascii="仿宋" w:hAnsi="仿宋" w:eastAsia="仿宋" w:cs="仿宋"/>
          <w:sz w:val="32"/>
          <w:szCs w:val="32"/>
        </w:rPr>
        <w:t>喀什综合保税区作为一个国家级金字招牌，主动承接起国际国内两个市场、两种资源要素，充分利用好丝绸之路经济带经贸大通道，特别要优先在保税服务、融资租赁、金融服务、航空服务、商贸服务、专业服务以及社会服务领域曾强投资吸引力，本项目的建设将实现机场与综保区港区联动，大大缩短国际航空货物转运时间，提高货物转运效率、降低转运成本，增强在新疆建设丝绸之路经济带核心区的竞争力具有重要意义。</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2"/>
          <w:rFonts w:hint="eastAsia"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（一）项目资金安排落实、总投入等情况分析</w:t>
      </w:r>
    </w:p>
    <w:p>
      <w:pPr>
        <w:spacing w:line="52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本项目立项批复总投资为30000万元（喀经开发促[2017]20号），资金来源为中央预算内及本级财政资金，其中中央预算内资金10000万元，开发区本级财政资金20000万元。</w:t>
      </w:r>
    </w:p>
    <w:p>
      <w:pPr>
        <w:spacing w:line="52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2018年中央预算资金到位</w:t>
      </w:r>
      <w:r>
        <w:rPr>
          <w:rFonts w:hint="eastAsia" w:ascii="仿宋" w:hAnsi="仿宋" w:eastAsia="仿宋" w:cs="仿宋"/>
          <w:sz w:val="32"/>
          <w:szCs w:val="32"/>
          <w:lang w:val="en-US" w:eastAsia="zh-CN"/>
        </w:rPr>
        <w:t>5015.8</w:t>
      </w:r>
      <w:r>
        <w:rPr>
          <w:rFonts w:hint="eastAsia" w:ascii="仿宋" w:hAnsi="仿宋" w:eastAsia="仿宋" w:cs="仿宋"/>
          <w:sz w:val="32"/>
          <w:szCs w:val="32"/>
        </w:rPr>
        <w:t>万元，其中：中央预算资金5000万元，</w:t>
      </w:r>
      <w:r>
        <w:rPr>
          <w:rFonts w:hint="eastAsia" w:ascii="仿宋" w:hAnsi="仿宋" w:eastAsia="仿宋" w:cs="仿宋"/>
          <w:sz w:val="32"/>
          <w:szCs w:val="32"/>
          <w:lang w:eastAsia="zh-CN"/>
        </w:rPr>
        <w:t>援疆资金</w:t>
      </w:r>
      <w:r>
        <w:rPr>
          <w:rFonts w:hint="eastAsia" w:ascii="仿宋" w:hAnsi="仿宋" w:eastAsia="仿宋" w:cs="仿宋"/>
          <w:sz w:val="32"/>
          <w:szCs w:val="32"/>
        </w:rPr>
        <w:t>15.8万元。2019年中央预算资金再申请5000万元</w:t>
      </w:r>
      <w:r>
        <w:rPr>
          <w:rFonts w:hint="eastAsia" w:ascii="仿宋" w:hAnsi="仿宋" w:eastAsia="仿宋" w:cs="仿宋"/>
          <w:sz w:val="32"/>
          <w:szCs w:val="32"/>
          <w:lang w:eastAsia="zh-CN"/>
        </w:rPr>
        <w:t>及援疆</w:t>
      </w:r>
      <w:r>
        <w:rPr>
          <w:rFonts w:hint="eastAsia" w:ascii="仿宋" w:hAnsi="仿宋" w:eastAsia="仿宋" w:cs="仿宋"/>
          <w:sz w:val="32"/>
          <w:szCs w:val="32"/>
        </w:rPr>
        <w:t>资金</w:t>
      </w:r>
      <w:r>
        <w:rPr>
          <w:rFonts w:hint="eastAsia" w:ascii="仿宋" w:hAnsi="仿宋" w:eastAsia="仿宋" w:cs="仿宋"/>
          <w:sz w:val="32"/>
          <w:szCs w:val="32"/>
          <w:lang w:eastAsia="zh-CN"/>
        </w:rPr>
        <w:t>均</w:t>
      </w:r>
      <w:r>
        <w:rPr>
          <w:rFonts w:hint="eastAsia" w:ascii="仿宋" w:hAnsi="仿宋" w:eastAsia="仿宋" w:cs="仿宋"/>
          <w:sz w:val="32"/>
          <w:szCs w:val="32"/>
        </w:rPr>
        <w:t>按照项目实施进度拨付。</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（二）项目资金实际使用情况分析</w:t>
      </w:r>
    </w:p>
    <w:p>
      <w:pPr>
        <w:adjustRightInd w:val="0"/>
        <w:snapToGrid w:val="0"/>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本项目已签订的项目合同总价844.56万元（含设计、可研、评估等），累计支付178.0247万元，其中：开发区本级财政资金15.8万元，中央预算资金162.2247万元。付款项目均为前期费用。因项目前期手续办理工作及招投标过程比较繁琐，项目进度缓慢，目前该项目仍有结余资金4837.7753万元。</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（三）项目资金管理情况分析</w:t>
      </w:r>
    </w:p>
    <w:p>
      <w:pPr>
        <w:spacing w:line="560" w:lineRule="exact"/>
        <w:ind w:firstLine="640" w:firstLineChars="200"/>
        <w:rPr>
          <w:rFonts w:hint="eastAsia" w:ascii="仿宋" w:hAnsi="仿宋" w:eastAsia="仿宋" w:cs="仿宋"/>
          <w:b w:val="0"/>
          <w:spacing w:val="0"/>
          <w:sz w:val="32"/>
          <w:szCs w:val="32"/>
          <w:u w:val="none"/>
        </w:rPr>
      </w:pPr>
      <w:r>
        <w:rPr>
          <w:rFonts w:hint="default" w:ascii="仿宋" w:hAnsi="仿宋" w:eastAsia="仿宋" w:cs="仿宋"/>
          <w:b w:val="0"/>
          <w:spacing w:val="0"/>
          <w:sz w:val="32"/>
          <w:szCs w:val="32"/>
          <w:u w:val="none"/>
        </w:rPr>
        <w:t>制定资金使用计划，严格按照喀什综合保税区管委会专项资金管理使用的规定等要求执行，确保合理合法管理使用该项目资金。</w:t>
      </w:r>
    </w:p>
    <w:p>
      <w:pPr>
        <w:spacing w:line="560" w:lineRule="exact"/>
        <w:ind w:firstLine="640" w:firstLineChars="200"/>
        <w:rPr>
          <w:rFonts w:hint="eastAsia" w:ascii="仿宋" w:hAnsi="仿宋" w:eastAsia="仿宋" w:cs="仿宋"/>
          <w:b w:val="0"/>
          <w:spacing w:val="0"/>
          <w:sz w:val="32"/>
          <w:szCs w:val="32"/>
          <w:u w:val="none"/>
        </w:rPr>
      </w:pPr>
      <w:r>
        <w:rPr>
          <w:rFonts w:hint="eastAsia" w:ascii="仿宋" w:hAnsi="仿宋" w:eastAsia="仿宋" w:cs="仿宋"/>
          <w:b w:val="0"/>
          <w:spacing w:val="0"/>
          <w:sz w:val="32"/>
          <w:szCs w:val="32"/>
          <w:u w:val="none"/>
        </w:rPr>
        <w:t>1</w:t>
      </w:r>
      <w:r>
        <w:rPr>
          <w:rFonts w:hint="default" w:ascii="仿宋" w:hAnsi="仿宋" w:eastAsia="仿宋" w:cs="仿宋"/>
          <w:b w:val="0"/>
          <w:spacing w:val="0"/>
          <w:sz w:val="32"/>
          <w:szCs w:val="32"/>
          <w:u w:val="none"/>
        </w:rPr>
        <w:t>、资金计划：该项目资金计划为</w:t>
      </w:r>
      <w:r>
        <w:rPr>
          <w:rFonts w:hint="eastAsia" w:ascii="仿宋" w:hAnsi="仿宋" w:eastAsia="仿宋" w:cs="仿宋"/>
          <w:sz w:val="32"/>
          <w:szCs w:val="32"/>
        </w:rPr>
        <w:t>中央预算内</w:t>
      </w:r>
      <w:r>
        <w:rPr>
          <w:rFonts w:hint="default" w:ascii="仿宋" w:hAnsi="仿宋" w:eastAsia="仿宋" w:cs="仿宋"/>
          <w:sz w:val="32"/>
          <w:szCs w:val="32"/>
        </w:rPr>
        <w:t>和</w:t>
      </w:r>
      <w:r>
        <w:rPr>
          <w:rFonts w:hint="default" w:ascii="仿宋" w:hAnsi="仿宋" w:eastAsia="仿宋" w:cs="仿宋"/>
          <w:b w:val="0"/>
          <w:spacing w:val="0"/>
          <w:sz w:val="32"/>
          <w:szCs w:val="32"/>
          <w:u w:val="none"/>
        </w:rPr>
        <w:t>开发区财政资金。</w:t>
      </w:r>
    </w:p>
    <w:p>
      <w:pPr>
        <w:spacing w:line="560" w:lineRule="exact"/>
        <w:ind w:firstLine="640" w:firstLineChars="200"/>
        <w:rPr>
          <w:rFonts w:hint="eastAsia" w:ascii="仿宋" w:hAnsi="仿宋" w:eastAsia="仿宋" w:cs="仿宋"/>
          <w:b w:val="0"/>
          <w:spacing w:val="0"/>
          <w:sz w:val="32"/>
          <w:szCs w:val="32"/>
          <w:u w:val="none"/>
        </w:rPr>
      </w:pPr>
      <w:r>
        <w:rPr>
          <w:rFonts w:hint="eastAsia" w:ascii="仿宋" w:hAnsi="仿宋" w:eastAsia="仿宋" w:cs="仿宋"/>
          <w:b w:val="0"/>
          <w:spacing w:val="0"/>
          <w:sz w:val="32"/>
          <w:szCs w:val="32"/>
          <w:u w:val="none"/>
        </w:rPr>
        <w:t>2</w:t>
      </w:r>
      <w:r>
        <w:rPr>
          <w:rFonts w:hint="default" w:ascii="仿宋" w:hAnsi="仿宋" w:eastAsia="仿宋" w:cs="仿宋"/>
          <w:b w:val="0"/>
          <w:spacing w:val="0"/>
          <w:sz w:val="32"/>
          <w:szCs w:val="32"/>
          <w:u w:val="none"/>
        </w:rPr>
        <w:t>、资金到位：</w:t>
      </w:r>
      <w:r>
        <w:rPr>
          <w:rFonts w:hint="eastAsia" w:ascii="仿宋" w:hAnsi="仿宋" w:eastAsia="仿宋" w:cs="仿宋"/>
          <w:sz w:val="32"/>
          <w:szCs w:val="32"/>
        </w:rPr>
        <w:t>中央预算内</w:t>
      </w:r>
      <w:r>
        <w:rPr>
          <w:rFonts w:hint="default" w:ascii="仿宋" w:hAnsi="仿宋" w:eastAsia="仿宋" w:cs="仿宋"/>
          <w:b w:val="0"/>
          <w:spacing w:val="0"/>
          <w:sz w:val="32"/>
          <w:szCs w:val="32"/>
          <w:u w:val="none"/>
        </w:rPr>
        <w:t>资金到位5000</w:t>
      </w:r>
      <w:r>
        <w:rPr>
          <w:rFonts w:hint="eastAsia" w:ascii="仿宋" w:hAnsi="仿宋" w:eastAsia="仿宋" w:cs="仿宋"/>
          <w:b w:val="0"/>
          <w:spacing w:val="0"/>
          <w:sz w:val="32"/>
          <w:szCs w:val="32"/>
          <w:u w:val="none"/>
        </w:rPr>
        <w:t>万元，</w:t>
      </w:r>
      <w:r>
        <w:rPr>
          <w:rFonts w:hint="eastAsia" w:ascii="仿宋" w:hAnsi="仿宋" w:eastAsia="仿宋" w:cs="仿宋"/>
          <w:sz w:val="32"/>
          <w:szCs w:val="32"/>
        </w:rPr>
        <w:t>开发区本级财政资金15.8万元</w:t>
      </w:r>
      <w:r>
        <w:rPr>
          <w:rFonts w:hint="eastAsia" w:ascii="仿宋" w:hAnsi="仿宋" w:eastAsia="仿宋" w:cs="仿宋"/>
          <w:sz w:val="32"/>
          <w:szCs w:val="32"/>
          <w:lang w:eastAsia="zh-CN"/>
        </w:rPr>
        <w:t>，</w:t>
      </w:r>
      <w:r>
        <w:rPr>
          <w:rFonts w:hint="eastAsia" w:ascii="仿宋" w:hAnsi="仿宋" w:eastAsia="仿宋" w:cs="仿宋"/>
          <w:b w:val="0"/>
          <w:spacing w:val="0"/>
          <w:sz w:val="32"/>
          <w:szCs w:val="32"/>
          <w:u w:val="none"/>
        </w:rPr>
        <w:t>资金到位率为</w:t>
      </w:r>
      <w:r>
        <w:rPr>
          <w:rFonts w:hint="default" w:ascii="仿宋" w:hAnsi="仿宋" w:eastAsia="仿宋" w:cs="仿宋"/>
          <w:b w:val="0"/>
          <w:spacing w:val="0"/>
          <w:sz w:val="32"/>
          <w:szCs w:val="32"/>
          <w:u w:val="none"/>
        </w:rPr>
        <w:t>16.7</w:t>
      </w:r>
      <w:r>
        <w:rPr>
          <w:rFonts w:hint="eastAsia" w:ascii="仿宋" w:hAnsi="仿宋" w:eastAsia="仿宋" w:cs="仿宋"/>
          <w:b w:val="0"/>
          <w:spacing w:val="0"/>
          <w:sz w:val="32"/>
          <w:szCs w:val="32"/>
          <w:u w:val="none"/>
          <w:lang w:val="en-US" w:eastAsia="zh-CN"/>
        </w:rPr>
        <w:t>2</w:t>
      </w:r>
      <w:r>
        <w:rPr>
          <w:rFonts w:hint="eastAsia" w:ascii="仿宋" w:hAnsi="仿宋" w:eastAsia="仿宋" w:cs="仿宋"/>
          <w:b w:val="0"/>
          <w:spacing w:val="0"/>
          <w:sz w:val="32"/>
          <w:szCs w:val="32"/>
          <w:u w:val="none"/>
        </w:rPr>
        <w:t>%</w:t>
      </w:r>
      <w:r>
        <w:rPr>
          <w:rFonts w:hint="default" w:ascii="仿宋" w:hAnsi="仿宋" w:eastAsia="仿宋" w:cs="仿宋"/>
          <w:b w:val="0"/>
          <w:spacing w:val="0"/>
          <w:sz w:val="32"/>
          <w:szCs w:val="32"/>
          <w:u w:val="none"/>
        </w:rPr>
        <w:t>。</w:t>
      </w:r>
    </w:p>
    <w:p>
      <w:pPr>
        <w:spacing w:line="560" w:lineRule="exact"/>
        <w:ind w:firstLine="640" w:firstLineChars="200"/>
        <w:rPr>
          <w:rFonts w:hint="eastAsia" w:ascii="仿宋" w:hAnsi="仿宋" w:eastAsia="仿宋" w:cs="仿宋"/>
          <w:b w:val="0"/>
          <w:spacing w:val="0"/>
          <w:sz w:val="32"/>
          <w:szCs w:val="32"/>
        </w:rPr>
      </w:pPr>
      <w:r>
        <w:rPr>
          <w:rFonts w:hint="eastAsia" w:ascii="仿宋" w:hAnsi="仿宋" w:eastAsia="仿宋" w:cs="仿宋"/>
          <w:b w:val="0"/>
          <w:spacing w:val="0"/>
          <w:sz w:val="32"/>
          <w:szCs w:val="32"/>
          <w:u w:val="none"/>
        </w:rPr>
        <w:t>3</w:t>
      </w:r>
      <w:r>
        <w:rPr>
          <w:rFonts w:hint="default" w:ascii="仿宋" w:hAnsi="仿宋" w:eastAsia="仿宋" w:cs="仿宋"/>
          <w:b w:val="0"/>
          <w:spacing w:val="0"/>
          <w:sz w:val="32"/>
          <w:szCs w:val="32"/>
          <w:u w:val="none"/>
        </w:rPr>
        <w:t>、资金使用：该项目完成完成投资</w:t>
      </w:r>
      <w:r>
        <w:rPr>
          <w:rFonts w:hint="default" w:ascii="仿宋" w:hAnsi="仿宋" w:eastAsia="仿宋" w:cs="仿宋"/>
          <w:sz w:val="32"/>
          <w:szCs w:val="32"/>
        </w:rPr>
        <w:t>844.56万元（含设计、可研、评估等），累计支付</w:t>
      </w:r>
      <w:r>
        <w:rPr>
          <w:rFonts w:hint="eastAsia" w:ascii="仿宋" w:hAnsi="仿宋" w:eastAsia="仿宋" w:cs="仿宋"/>
          <w:sz w:val="32"/>
          <w:szCs w:val="32"/>
          <w:lang w:val="en-US" w:eastAsia="zh-CN"/>
        </w:rPr>
        <w:t>178.0247</w:t>
      </w:r>
      <w:r>
        <w:rPr>
          <w:rFonts w:hint="default" w:ascii="仿宋" w:hAnsi="仿宋" w:eastAsia="仿宋" w:cs="仿宋"/>
          <w:sz w:val="32"/>
          <w:szCs w:val="32"/>
        </w:rPr>
        <w:t>万元</w:t>
      </w:r>
      <w:r>
        <w:rPr>
          <w:rFonts w:hint="eastAsia" w:ascii="仿宋" w:hAnsi="仿宋" w:eastAsia="仿宋" w:cs="仿宋"/>
          <w:b w:val="0"/>
          <w:spacing w:val="0"/>
          <w:sz w:val="32"/>
          <w:szCs w:val="32"/>
          <w:u w:val="none"/>
        </w:rPr>
        <w:t>。按照资金拨付申请审批程序办理，直接将资金拨付到</w:t>
      </w:r>
      <w:r>
        <w:rPr>
          <w:rFonts w:hint="default" w:ascii="仿宋" w:hAnsi="仿宋" w:eastAsia="仿宋" w:cs="仿宋"/>
          <w:b w:val="0"/>
          <w:spacing w:val="0"/>
          <w:sz w:val="32"/>
          <w:szCs w:val="32"/>
          <w:u w:val="none"/>
        </w:rPr>
        <w:t>合同单位</w:t>
      </w:r>
      <w:r>
        <w:rPr>
          <w:rFonts w:hint="eastAsia" w:ascii="仿宋" w:hAnsi="仿宋" w:eastAsia="仿宋" w:cs="仿宋"/>
          <w:b w:val="0"/>
          <w:spacing w:val="0"/>
          <w:sz w:val="32"/>
          <w:szCs w:val="32"/>
          <w:u w:val="none"/>
        </w:rPr>
        <w:t>。</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（一）项目组织情况分析</w:t>
      </w:r>
    </w:p>
    <w:p>
      <w:pPr>
        <w:adjustRightInd w:val="0"/>
        <w:snapToGrid w:val="0"/>
        <w:spacing w:line="560" w:lineRule="exact"/>
        <w:ind w:firstLine="624" w:firstLineChars="200"/>
        <w:outlineLvl w:val="0"/>
        <w:rPr>
          <w:rFonts w:hint="eastAsia" w:cs="宋体"/>
          <w:b/>
          <w:color w:val="000000"/>
        </w:rPr>
      </w:pPr>
      <w:r>
        <w:rPr>
          <w:rStyle w:val="22"/>
          <w:rFonts w:hint="eastAsia" w:ascii="仿宋" w:hAnsi="仿宋" w:eastAsia="仿宋"/>
          <w:b w:val="0"/>
          <w:spacing w:val="-4"/>
          <w:sz w:val="32"/>
          <w:szCs w:val="36"/>
        </w:rPr>
        <w:t>为组织协调本项目各方面工作，如期完成项目建设任务，达到预期目标，成立项目建设领导小组，领导小组由喀什综合保税区管理委员会牵头组成。项目建设领导小组职责：履行建设初期组织管理机构职能；具体负责本项目的制定和组织，负责项目实施任务的落实，加强项目实施管理和监督资金合理使用、建设工程的质量管理、现场技术指导、专项培训等工作。解决实施中出现的问题。进行项目年度总结，开展技术交流协作等工作，保证项目顺利实施</w:t>
      </w:r>
      <w:r>
        <w:rPr>
          <w:rFonts w:hint="eastAsia" w:cs="宋体"/>
          <w:b/>
          <w:color w:val="000000"/>
        </w:rPr>
        <w:t>。</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（二）项目管理情况分析</w:t>
      </w:r>
    </w:p>
    <w:p>
      <w:pPr>
        <w:spacing w:line="540" w:lineRule="exact"/>
        <w:ind w:firstLine="624" w:firstLineChars="200"/>
        <w:rPr>
          <w:rStyle w:val="22"/>
          <w:rFonts w:hint="eastAsia" w:ascii="仿宋" w:hAnsi="仿宋" w:eastAsia="仿宋" w:cs="仿宋"/>
          <w:b w:val="0"/>
          <w:color w:val="auto"/>
          <w:spacing w:val="-4"/>
          <w:sz w:val="32"/>
          <w:szCs w:val="32"/>
          <w:highlight w:val="none"/>
          <w:lang w:val="en-US" w:eastAsia="zh-CN"/>
        </w:rPr>
      </w:pPr>
      <w:r>
        <w:rPr>
          <w:rStyle w:val="22"/>
          <w:rFonts w:hint="eastAsia" w:ascii="仿宋" w:hAnsi="仿宋" w:eastAsia="仿宋" w:cs="仿宋"/>
          <w:b w:val="0"/>
          <w:color w:val="auto"/>
          <w:spacing w:val="-4"/>
          <w:sz w:val="32"/>
          <w:szCs w:val="32"/>
          <w:highlight w:val="none"/>
          <w:lang w:val="en-US" w:eastAsia="zh-CN"/>
        </w:rPr>
        <w:t>项目建设管理将严格贯彻落实国家、自治区有关政策和规定，认真贯彻项目管理“五制”（项目法人制、招投标制、合同管理制、质量监理制、质量终身责任制）。</w:t>
      </w:r>
    </w:p>
    <w:p>
      <w:pPr>
        <w:spacing w:line="540" w:lineRule="exact"/>
        <w:ind w:firstLine="624" w:firstLineChars="200"/>
        <w:rPr>
          <w:rStyle w:val="22"/>
          <w:rFonts w:hint="eastAsia" w:ascii="仿宋" w:hAnsi="仿宋" w:eastAsia="仿宋" w:cs="仿宋"/>
          <w:b w:val="0"/>
          <w:color w:val="auto"/>
          <w:spacing w:val="-4"/>
          <w:sz w:val="32"/>
          <w:szCs w:val="32"/>
          <w:highlight w:val="none"/>
          <w:lang w:val="en-US" w:eastAsia="zh-CN"/>
        </w:rPr>
      </w:pPr>
      <w:r>
        <w:rPr>
          <w:rStyle w:val="22"/>
          <w:rFonts w:hint="eastAsia" w:ascii="仿宋" w:hAnsi="仿宋" w:eastAsia="仿宋" w:cs="仿宋"/>
          <w:b w:val="0"/>
          <w:color w:val="auto"/>
          <w:spacing w:val="-4"/>
          <w:sz w:val="32"/>
          <w:szCs w:val="32"/>
          <w:highlight w:val="none"/>
          <w:lang w:val="en-US" w:eastAsia="zh-CN"/>
        </w:rPr>
        <w:t>本项目2018年完成设计单位招标、环评、安评、稳评、地灾、压覆矿产等评估报告的编制报审工作；取得项目初步选址意见书、用地预审意见和建设用地规划证书；完成货运区及停机坪区域（局部）的现场地勘工作；项目初步设计及概算已报送自治区政府投资项目评审中心召开项目评审会，设计单位按照评审专家评审意见修改、完善初设及概算；</w:t>
      </w:r>
    </w:p>
    <w:p>
      <w:pPr>
        <w:spacing w:line="540" w:lineRule="exact"/>
        <w:ind w:firstLine="624" w:firstLineChars="200"/>
        <w:rPr>
          <w:rStyle w:val="22"/>
          <w:rFonts w:hint="eastAsia" w:ascii="仿宋" w:hAnsi="仿宋" w:eastAsia="仿宋" w:cs="仿宋"/>
          <w:b w:val="0"/>
          <w:color w:val="auto"/>
          <w:spacing w:val="-4"/>
          <w:sz w:val="32"/>
          <w:szCs w:val="32"/>
          <w:highlight w:val="none"/>
          <w:lang w:val="en-US" w:eastAsia="zh-CN"/>
        </w:rPr>
      </w:pPr>
      <w:r>
        <w:rPr>
          <w:rStyle w:val="22"/>
          <w:rFonts w:hint="eastAsia" w:ascii="仿宋" w:hAnsi="仿宋" w:eastAsia="仿宋" w:cs="仿宋"/>
          <w:b w:val="0"/>
          <w:color w:val="auto"/>
          <w:spacing w:val="-4"/>
          <w:sz w:val="32"/>
          <w:szCs w:val="32"/>
          <w:highlight w:val="none"/>
          <w:lang w:val="en-US" w:eastAsia="zh-CN"/>
        </w:rPr>
        <w:t>本项目2019年计划完成初设及概算的批复、民航局专业审查工作，上半年完成施工、监理招投标，项目开工建设。</w:t>
      </w:r>
    </w:p>
    <w:p>
      <w:pPr>
        <w:adjustRightInd w:val="0"/>
        <w:snapToGrid w:val="0"/>
        <w:spacing w:line="560" w:lineRule="exact"/>
        <w:ind w:firstLine="624" w:firstLineChars="200"/>
        <w:outlineLvl w:val="0"/>
        <w:rPr>
          <w:rStyle w:val="22"/>
          <w:rFonts w:ascii="黑体" w:hAnsi="黑体" w:eastAsia="黑体"/>
          <w:color w:val="auto"/>
          <w:shd w:val="clear" w:color="auto" w:fill="auto"/>
        </w:rPr>
      </w:pPr>
      <w:r>
        <w:rPr>
          <w:rStyle w:val="22"/>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Style w:val="22"/>
          <w:rFonts w:ascii="楷体" w:hAnsi="楷体" w:eastAsia="楷体"/>
          <w:bCs w:val="0"/>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ascii="仿宋" w:hAnsi="仿宋" w:eastAsia="仿宋"/>
          <w:bCs/>
          <w:color w:val="auto"/>
          <w:spacing w:val="-4"/>
          <w:sz w:val="32"/>
          <w:szCs w:val="32"/>
          <w:shd w:val="clear" w:color="auto" w:fill="auto"/>
        </w:rPr>
        <w:t>本项目共设置一级指标</w:t>
      </w:r>
      <w:r>
        <w:rPr>
          <w:rFonts w:hint="eastAsia" w:ascii="仿宋" w:hAnsi="仿宋" w:eastAsia="仿宋"/>
          <w:bCs/>
          <w:color w:val="auto"/>
          <w:spacing w:val="-4"/>
          <w:sz w:val="32"/>
          <w:szCs w:val="32"/>
          <w:shd w:val="clear" w:color="auto" w:fill="auto"/>
          <w:lang w:val="en-US" w:eastAsia="zh-CN"/>
        </w:rPr>
        <w:t>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二级指标</w:t>
      </w:r>
      <w:r>
        <w:rPr>
          <w:rFonts w:hint="eastAsia" w:ascii="仿宋" w:hAnsi="仿宋" w:eastAsia="仿宋"/>
          <w:bCs/>
          <w:color w:val="auto"/>
          <w:spacing w:val="-4"/>
          <w:sz w:val="32"/>
          <w:szCs w:val="32"/>
          <w:shd w:val="clear" w:color="auto" w:fill="auto"/>
          <w:lang w:val="en-US" w:eastAsia="zh-CN"/>
        </w:rPr>
        <w:t>8</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三级指标</w:t>
      </w:r>
      <w:r>
        <w:rPr>
          <w:rFonts w:hint="eastAsia" w:ascii="仿宋" w:hAnsi="仿宋" w:eastAsia="仿宋"/>
          <w:bCs/>
          <w:color w:val="auto"/>
          <w:spacing w:val="-4"/>
          <w:sz w:val="32"/>
          <w:szCs w:val="32"/>
          <w:shd w:val="clear" w:color="auto" w:fill="auto"/>
          <w:lang w:val="en-US" w:eastAsia="zh-CN"/>
        </w:rPr>
        <w:t>24</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，其中</w:t>
      </w:r>
      <w:r>
        <w:rPr>
          <w:rFonts w:ascii="仿宋" w:hAnsi="仿宋" w:eastAsia="仿宋"/>
          <w:bCs/>
          <w:color w:val="auto"/>
          <w:spacing w:val="-4"/>
          <w:sz w:val="32"/>
          <w:szCs w:val="32"/>
          <w:shd w:val="clear" w:color="auto" w:fill="auto"/>
        </w:rPr>
        <w:t>已完成三级指标</w:t>
      </w:r>
      <w:r>
        <w:rPr>
          <w:rFonts w:hint="eastAsia" w:ascii="仿宋" w:hAnsi="仿宋" w:eastAsia="仿宋"/>
          <w:bCs/>
          <w:color w:val="auto"/>
          <w:spacing w:val="-4"/>
          <w:sz w:val="32"/>
          <w:szCs w:val="32"/>
          <w:shd w:val="clear" w:color="auto" w:fill="auto"/>
          <w:lang w:val="en-US" w:eastAsia="zh-CN"/>
        </w:rPr>
        <w:t>6</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，指标完成率为</w:t>
      </w:r>
      <w:r>
        <w:rPr>
          <w:rFonts w:hint="eastAsia" w:ascii="仿宋" w:hAnsi="仿宋" w:eastAsia="仿宋"/>
          <w:bCs/>
          <w:color w:val="auto"/>
          <w:spacing w:val="-4"/>
          <w:sz w:val="32"/>
          <w:szCs w:val="32"/>
          <w:shd w:val="clear" w:color="auto" w:fill="auto"/>
          <w:lang w:val="en-US" w:eastAsia="zh-CN"/>
        </w:rPr>
        <w:t>25</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4" w:firstLineChars="200"/>
        <w:outlineLvl w:val="0"/>
        <w:rPr>
          <w:rFonts w:hint="default" w:ascii="仿宋" w:hAnsi="仿宋" w:eastAsia="仿宋"/>
          <w:bCs/>
          <w:color w:val="auto"/>
          <w:spacing w:val="-4"/>
          <w:sz w:val="32"/>
          <w:szCs w:val="32"/>
          <w:lang w:val="en-US" w:eastAsia="zh-CN"/>
        </w:rPr>
      </w:pPr>
      <w:r>
        <w:rPr>
          <w:rStyle w:val="22"/>
          <w:rFonts w:hint="eastAsia" w:ascii="仿宋" w:hAnsi="仿宋" w:eastAsia="仿宋"/>
          <w:b w:val="0"/>
          <w:color w:val="auto"/>
          <w:spacing w:val="-4"/>
          <w:sz w:val="32"/>
          <w:szCs w:val="32"/>
        </w:rPr>
        <w:t>效率性：</w:t>
      </w:r>
      <w:r>
        <w:rPr>
          <w:rStyle w:val="22"/>
          <w:rFonts w:hint="eastAsia" w:ascii="仿宋" w:hAnsi="仿宋" w:eastAsia="仿宋" w:cs="仿宋"/>
          <w:b w:val="0"/>
          <w:color w:val="auto"/>
          <w:spacing w:val="-4"/>
          <w:sz w:val="32"/>
          <w:szCs w:val="32"/>
          <w:lang w:val="en-US" w:eastAsia="zh-CN"/>
        </w:rPr>
        <w:t>项目前期手续已完成，主体还未实施。</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ind w:firstLine="640" w:firstLineChars="200"/>
        <w:rPr>
          <w:rFonts w:ascii="仿宋" w:hAnsi="仿宋" w:eastAsia="仿宋"/>
          <w:sz w:val="32"/>
          <w:szCs w:val="32"/>
        </w:rPr>
      </w:pPr>
      <w:r>
        <w:rPr>
          <w:rFonts w:hint="eastAsia" w:ascii="仿宋" w:hAnsi="仿宋" w:eastAsia="仿宋"/>
          <w:sz w:val="32"/>
          <w:szCs w:val="32"/>
        </w:rPr>
        <w:t>1、喀什国际航空货运区建设项目不同于普通的民用建筑，项目的设计必须考虑民航安全的相关规定。项目设计方案要满足喀什综合保税区、喀什市和喀什机场的要求，同时也需要满足海关、边检等相关监管单位要求，喀什综保区就设计方案牵头与相关单位进行了多次论证、协商，现方案已经过相关单位共同论证修改，形成一致意见。但喀什机场改扩建项目的方案也在不断修改中，本项目的前期准备工作也随之有了适当延长。</w:t>
      </w:r>
    </w:p>
    <w:p>
      <w:pPr>
        <w:ind w:firstLine="640" w:firstLineChars="200"/>
        <w:rPr>
          <w:rFonts w:ascii="仿宋" w:hAnsi="仿宋" w:eastAsia="仿宋"/>
          <w:sz w:val="32"/>
          <w:szCs w:val="32"/>
        </w:rPr>
      </w:pPr>
      <w:r>
        <w:rPr>
          <w:rFonts w:hint="eastAsia" w:ascii="仿宋" w:hAnsi="仿宋" w:eastAsia="仿宋"/>
          <w:sz w:val="32"/>
          <w:szCs w:val="32"/>
        </w:rPr>
        <w:t>2、喀什国际航空货运区建设项目用地手续比较复杂。喀什国际航空货运区建设项目建设用地横跨综保区、机场北路、喀什市绿化预留用地、喀什机场的用地地界。因机场北路用地红线、机场区域的货机停机坪的坐标位置不明确，致使项目用地范围无法确定。综保区管委会多次与机场、相关设计单位联系沟通，与2018年年底就项目用地范围达成基本共识，现喀什市国土局已将项目用地手续报地区国土局审批。</w:t>
      </w:r>
    </w:p>
    <w:p>
      <w:pPr>
        <w:adjustRightInd w:val="0"/>
        <w:snapToGrid w:val="0"/>
        <w:spacing w:line="240" w:lineRule="auto"/>
        <w:ind w:firstLine="0" w:firstLineChars="0"/>
        <w:outlineLvl w:val="0"/>
        <w:rPr>
          <w:rFonts w:hint="eastAsia" w:ascii="仿宋" w:hAnsi="仿宋" w:eastAsia="仿宋"/>
          <w:sz w:val="32"/>
          <w:szCs w:val="32"/>
        </w:rPr>
      </w:pPr>
      <w:r>
        <w:rPr>
          <w:rFonts w:hint="eastAsia" w:ascii="仿宋" w:hAnsi="仿宋" w:eastAsia="仿宋"/>
          <w:sz w:val="32"/>
          <w:szCs w:val="32"/>
        </w:rPr>
        <w:t>3、现该项目为初步设计阶段，项目初步设计及概算已召开项目评审会，设计单位按照评审专家评审意见修改、完善初设及概算。同时，设计单位抓紧进行施工图设计工作。</w:t>
      </w:r>
    </w:p>
    <w:p>
      <w:pPr>
        <w:adjustRightInd w:val="0"/>
        <w:snapToGrid w:val="0"/>
        <w:spacing w:line="240" w:lineRule="auto"/>
        <w:ind w:firstLine="320" w:firstLineChars="100"/>
        <w:outlineLvl w:val="0"/>
        <w:rPr>
          <w:rStyle w:val="22"/>
          <w:rFonts w:ascii="黑体" w:hAnsi="黑体" w:eastAsia="黑体"/>
          <w:b w:val="0"/>
          <w:color w:val="auto"/>
          <w:spacing w:val="-4"/>
          <w:sz w:val="32"/>
          <w:szCs w:val="32"/>
          <w:shd w:val="clear" w:color="auto" w:fill="auto"/>
        </w:rPr>
      </w:pPr>
      <w:r>
        <w:rPr>
          <w:rFonts w:hint="eastAsia" w:ascii="仿宋" w:hAnsi="仿宋" w:eastAsia="仿宋"/>
          <w:sz w:val="32"/>
          <w:szCs w:val="32"/>
          <w:lang w:val="en-US" w:eastAsia="zh-CN"/>
        </w:rPr>
        <w:t xml:space="preserve">  </w:t>
      </w:r>
      <w:r>
        <w:rPr>
          <w:rStyle w:val="22"/>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adjustRightInd w:val="0"/>
        <w:snapToGrid w:val="0"/>
        <w:spacing w:line="560" w:lineRule="exact"/>
        <w:ind w:firstLine="624" w:firstLineChars="200"/>
        <w:outlineLvl w:val="0"/>
        <w:rPr>
          <w:rFonts w:hint="eastAsia" w:ascii="仿宋_GB2312" w:hAnsi="仿宋_GB2312" w:eastAsia="仿宋_GB2312" w:cs="仿宋_GB2312"/>
          <w:b w:val="0"/>
          <w:bCs/>
          <w:spacing w:val="-4"/>
          <w:sz w:val="32"/>
          <w:szCs w:val="32"/>
          <w:lang w:val="en-US" w:eastAsia="zh-CN"/>
        </w:rPr>
      </w:pPr>
      <w:r>
        <w:rPr>
          <w:rFonts w:hint="eastAsia" w:ascii="仿宋_GB2312" w:hAnsi="仿宋_GB2312" w:eastAsia="仿宋_GB2312" w:cs="仿宋_GB2312"/>
          <w:b w:val="0"/>
          <w:bCs/>
          <w:spacing w:val="-4"/>
          <w:sz w:val="32"/>
          <w:szCs w:val="32"/>
          <w:lang w:val="en-US" w:eastAsia="zh-CN"/>
        </w:rPr>
        <w:t>按照工程进度实施项目。</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pStyle w:val="17"/>
        <w:keepNext w:val="0"/>
        <w:keepLines w:val="0"/>
        <w:widowControl/>
        <w:suppressLineNumbers w:val="0"/>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w:t>
      </w:r>
    </w:p>
    <w:p>
      <w:pPr>
        <w:pStyle w:val="17"/>
        <w:keepNext w:val="0"/>
        <w:keepLines w:val="0"/>
        <w:widowControl/>
        <w:suppressLineNumbers w:val="0"/>
        <w:ind w:firstLine="640" w:firstLineChars="200"/>
        <w:rPr>
          <w:rFonts w:hint="eastAsia" w:ascii="仿宋" w:hAnsi="仿宋" w:eastAsia="仿宋" w:cs="Times New Roman"/>
          <w:kern w:val="2"/>
          <w:sz w:val="32"/>
          <w:szCs w:val="32"/>
          <w:lang w:val="en-US" w:eastAsia="zh-CN" w:bidi="ar-SA"/>
        </w:rPr>
      </w:pPr>
      <w:bookmarkStart w:id="0" w:name="_GoBack"/>
      <w:r>
        <w:rPr>
          <w:rFonts w:hint="eastAsia" w:ascii="仿宋" w:hAnsi="仿宋" w:eastAsia="仿宋" w:cs="Times New Roman"/>
          <w:kern w:val="2"/>
          <w:sz w:val="32"/>
          <w:szCs w:val="32"/>
          <w:lang w:val="en-US" w:eastAsia="zh-CN" w:bidi="ar-SA"/>
        </w:rPr>
        <w:t>实现机场综保区港区联动，推动港区一体化进程，货运区的建设大大缩短国际航空货物转运时间，提高货物转运效率、降低转运成本40%以上。</w:t>
      </w:r>
    </w:p>
    <w:bookmarkEnd w:id="0"/>
    <w:p>
      <w:pPr>
        <w:pStyle w:val="17"/>
        <w:keepNext w:val="0"/>
        <w:keepLines w:val="0"/>
        <w:widowControl/>
        <w:suppressLineNumbers w:val="0"/>
        <w:ind w:firstLine="624" w:firstLineChars="200"/>
        <w:rPr>
          <w:rFonts w:hint="eastAsia" w:hAnsi="宋体" w:eastAsia="仿宋_GB2312" w:cs="宋体"/>
          <w:color w:val="auto"/>
          <w:kern w:val="0"/>
          <w:sz w:val="32"/>
          <w:szCs w:val="32"/>
          <w:lang w:val="en-US" w:eastAsia="zh-CN"/>
        </w:rPr>
      </w:pPr>
      <w:r>
        <w:rPr>
          <w:rFonts w:hint="eastAsia" w:ascii="仿宋" w:hAnsi="仿宋" w:eastAsia="仿宋" w:cs="Times New Roman"/>
          <w:bCs/>
          <w:color w:val="auto"/>
          <w:spacing w:val="-4"/>
          <w:kern w:val="2"/>
          <w:sz w:val="32"/>
          <w:szCs w:val="32"/>
          <w:lang w:val="en-US" w:eastAsia="zh-CN" w:bidi="ar-SA"/>
        </w:rPr>
        <w:t>2、</w:t>
      </w:r>
      <w:r>
        <w:rPr>
          <w:rFonts w:hint="eastAsia" w:ascii="仿宋_GB2312" w:eastAsia="仿宋_GB2312"/>
          <w:color w:val="auto"/>
          <w:spacing w:val="-4"/>
          <w:sz w:val="32"/>
          <w:szCs w:val="32"/>
          <w:lang w:eastAsia="zh-CN"/>
        </w:rPr>
        <w:t>存在的问题：</w:t>
      </w:r>
      <w:r>
        <w:rPr>
          <w:rFonts w:hint="eastAsia" w:hAnsi="宋体" w:eastAsia="仿宋_GB2312" w:cs="宋体"/>
          <w:color w:val="auto"/>
          <w:kern w:val="0"/>
          <w:sz w:val="32"/>
          <w:szCs w:val="32"/>
          <w:lang w:val="en-US" w:eastAsia="zh-CN"/>
        </w:rPr>
        <w:t>无。</w:t>
      </w:r>
    </w:p>
    <w:p>
      <w:pPr>
        <w:pStyle w:val="17"/>
        <w:keepNext w:val="0"/>
        <w:keepLines w:val="0"/>
        <w:widowControl/>
        <w:suppressLineNumbers w:val="0"/>
        <w:ind w:firstLine="640" w:firstLineChars="200"/>
        <w:rPr>
          <w:rFonts w:hint="default"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3、</w:t>
      </w:r>
      <w:r>
        <w:rPr>
          <w:rFonts w:hint="eastAsia" w:ascii="仿宋_GB2312" w:eastAsia="仿宋_GB2312"/>
          <w:color w:val="auto"/>
          <w:spacing w:val="-4"/>
          <w:sz w:val="32"/>
          <w:szCs w:val="32"/>
          <w:lang w:eastAsia="zh-CN"/>
        </w:rPr>
        <w:t>建议：</w:t>
      </w:r>
      <w:r>
        <w:rPr>
          <w:rFonts w:hint="eastAsia" w:ascii="仿宋_GB2312" w:eastAsia="仿宋_GB2312"/>
          <w:color w:val="auto"/>
          <w:spacing w:val="-4"/>
          <w:sz w:val="32"/>
          <w:szCs w:val="32"/>
          <w:lang w:val="en-US" w:eastAsia="zh-CN"/>
        </w:rPr>
        <w:t>无</w:t>
      </w:r>
      <w:r>
        <w:rPr>
          <w:rFonts w:hint="eastAsia" w:ascii="仿宋_GB2312" w:eastAsia="仿宋_GB2312"/>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六、项目评价工作情况</w:t>
      </w:r>
    </w:p>
    <w:p>
      <w:pPr>
        <w:ind w:firstLine="640" w:firstLineChars="200"/>
        <w:rPr>
          <w:rFonts w:ascii="仿宋" w:hAnsi="仿宋" w:eastAsia="仿宋"/>
          <w:sz w:val="32"/>
          <w:szCs w:val="32"/>
        </w:rPr>
      </w:pPr>
      <w:r>
        <w:rPr>
          <w:rFonts w:hint="eastAsia" w:ascii="仿宋" w:hAnsi="仿宋" w:eastAsia="仿宋"/>
          <w:sz w:val="32"/>
          <w:szCs w:val="32"/>
        </w:rPr>
        <w:t>项目着眼于发展喀什国际航空货运区的建设，以生态文明为大局，兼顾地方经济发展的战略需要，构建资源节约型和环境友好型产业体系，积极推进生态修复，培育重点镇的区域服务功能，实现全球一体化的发展战略。</w:t>
      </w:r>
    </w:p>
    <w:p>
      <w:pPr>
        <w:ind w:firstLine="640" w:firstLineChars="200"/>
        <w:rPr>
          <w:rFonts w:ascii="仿宋" w:hAnsi="仿宋" w:eastAsia="仿宋"/>
          <w:sz w:val="32"/>
          <w:szCs w:val="32"/>
        </w:rPr>
      </w:pPr>
      <w:r>
        <w:rPr>
          <w:rFonts w:hint="eastAsia" w:ascii="仿宋" w:hAnsi="仿宋" w:eastAsia="仿宋"/>
          <w:sz w:val="32"/>
          <w:szCs w:val="32"/>
        </w:rPr>
        <w:t>本项目的建设和实施具有显著的社会效益，是一项切实可行的项目，是一项全面建成小康社会、加快社会主义现代化建设进程、实现中华民族伟大复兴的中国梦、功在当代、利在千秋的项目。</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七、附表</w:t>
      </w:r>
    </w:p>
    <w:p>
      <w:pPr>
        <w:adjustRightInd w:val="0"/>
        <w:snapToGrid w:val="0"/>
        <w:spacing w:line="560" w:lineRule="exact"/>
        <w:ind w:firstLine="624" w:firstLineChars="200"/>
        <w:rPr>
          <w:rStyle w:val="22"/>
          <w:rFonts w:ascii="仿宋" w:hAnsi="仿宋" w:eastAsia="仿宋"/>
          <w:b w:val="0"/>
          <w:color w:val="auto"/>
          <w:spacing w:val="-4"/>
          <w:sz w:val="32"/>
          <w:szCs w:val="32"/>
          <w:shd w:val="clear" w:color="auto" w:fill="auto"/>
        </w:rPr>
      </w:pPr>
      <w:r>
        <w:rPr>
          <w:rStyle w:val="22"/>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2"/>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E023B75"/>
    <w:rsid w:val="2E0323C3"/>
    <w:rsid w:val="2E8C27F1"/>
    <w:rsid w:val="30203E88"/>
    <w:rsid w:val="31F3238E"/>
    <w:rsid w:val="326D02DC"/>
    <w:rsid w:val="33792547"/>
    <w:rsid w:val="355951BB"/>
    <w:rsid w:val="366900D7"/>
    <w:rsid w:val="37AB04C0"/>
    <w:rsid w:val="380D5827"/>
    <w:rsid w:val="3A632877"/>
    <w:rsid w:val="3B775EDC"/>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50957B9D"/>
    <w:rsid w:val="533A49E7"/>
    <w:rsid w:val="539174FF"/>
    <w:rsid w:val="545859F5"/>
    <w:rsid w:val="57535ED5"/>
    <w:rsid w:val="5C7258B2"/>
    <w:rsid w:val="5DDE7349"/>
    <w:rsid w:val="5E5425BA"/>
    <w:rsid w:val="61526029"/>
    <w:rsid w:val="620222BA"/>
    <w:rsid w:val="62054471"/>
    <w:rsid w:val="6211449E"/>
    <w:rsid w:val="622F2BB2"/>
    <w:rsid w:val="62EA6905"/>
    <w:rsid w:val="63DD45F9"/>
    <w:rsid w:val="6D265277"/>
    <w:rsid w:val="6F726579"/>
    <w:rsid w:val="732C33E8"/>
    <w:rsid w:val="74757650"/>
    <w:rsid w:val="754500BD"/>
    <w:rsid w:val="797369A9"/>
    <w:rsid w:val="7A012A72"/>
    <w:rsid w:val="7A1F5ECF"/>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9"/>
    <w:semiHidden/>
    <w:unhideWhenUsed/>
    <w:qFormat/>
    <w:uiPriority w:val="99"/>
    <w:rPr>
      <w:rFonts w:ascii="宋体"/>
      <w:sz w:val="18"/>
      <w:szCs w:val="18"/>
    </w:rPr>
  </w:style>
  <w:style w:type="paragraph" w:styleId="12">
    <w:name w:val="Body Text Indent"/>
    <w:basedOn w:val="1"/>
    <w:qFormat/>
    <w:uiPriority w:val="0"/>
    <w:pPr>
      <w:spacing w:after="120"/>
      <w:ind w:left="420" w:leftChars="200"/>
    </w:pPr>
  </w:style>
  <w:style w:type="paragraph" w:styleId="13">
    <w:name w:val="Balloon Text"/>
    <w:basedOn w:val="1"/>
    <w:link w:val="50"/>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2"/>
    <w:basedOn w:val="12"/>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2"/>
    <w:qFormat/>
    <w:uiPriority w:val="9"/>
    <w:rPr>
      <w:rFonts w:asciiTheme="majorHAnsi" w:hAnsiTheme="majorHAnsi" w:eastAsiaTheme="majorEastAsia"/>
      <w:b/>
      <w:bCs/>
      <w:kern w:val="32"/>
      <w:sz w:val="32"/>
      <w:szCs w:val="32"/>
    </w:rPr>
  </w:style>
  <w:style w:type="character" w:customStyle="1" w:styleId="25">
    <w:name w:val="标题 2 Char"/>
    <w:basedOn w:val="21"/>
    <w:link w:val="3"/>
    <w:semiHidden/>
    <w:qFormat/>
    <w:uiPriority w:val="9"/>
    <w:rPr>
      <w:rFonts w:asciiTheme="majorHAnsi" w:hAnsiTheme="majorHAnsi" w:eastAsiaTheme="majorEastAsia"/>
      <w:b/>
      <w:bCs/>
      <w:i/>
      <w:iCs/>
      <w:sz w:val="28"/>
      <w:szCs w:val="28"/>
    </w:rPr>
  </w:style>
  <w:style w:type="character" w:customStyle="1" w:styleId="26">
    <w:name w:val="标题 3 Char"/>
    <w:basedOn w:val="21"/>
    <w:link w:val="4"/>
    <w:semiHidden/>
    <w:qFormat/>
    <w:uiPriority w:val="9"/>
    <w:rPr>
      <w:rFonts w:asciiTheme="majorHAnsi" w:hAnsiTheme="majorHAnsi" w:eastAsiaTheme="majorEastAsia"/>
      <w:b/>
      <w:bCs/>
      <w:sz w:val="26"/>
      <w:szCs w:val="26"/>
    </w:rPr>
  </w:style>
  <w:style w:type="character" w:customStyle="1" w:styleId="27">
    <w:name w:val="标题 4 Char"/>
    <w:basedOn w:val="21"/>
    <w:link w:val="5"/>
    <w:semiHidden/>
    <w:qFormat/>
    <w:uiPriority w:val="9"/>
    <w:rPr>
      <w:b/>
      <w:bCs/>
      <w:sz w:val="28"/>
      <w:szCs w:val="28"/>
    </w:rPr>
  </w:style>
  <w:style w:type="character" w:customStyle="1" w:styleId="28">
    <w:name w:val="标题 5 Char"/>
    <w:basedOn w:val="21"/>
    <w:link w:val="6"/>
    <w:semiHidden/>
    <w:uiPriority w:val="9"/>
    <w:rPr>
      <w:b/>
      <w:bCs/>
      <w:i/>
      <w:iCs/>
      <w:sz w:val="26"/>
      <w:szCs w:val="26"/>
    </w:rPr>
  </w:style>
  <w:style w:type="character" w:customStyle="1" w:styleId="29">
    <w:name w:val="标题 6 Char"/>
    <w:basedOn w:val="21"/>
    <w:link w:val="7"/>
    <w:semiHidden/>
    <w:qFormat/>
    <w:uiPriority w:val="9"/>
    <w:rPr>
      <w:b/>
      <w:bCs/>
    </w:rPr>
  </w:style>
  <w:style w:type="character" w:customStyle="1" w:styleId="30">
    <w:name w:val="标题 7 Char"/>
    <w:basedOn w:val="21"/>
    <w:link w:val="8"/>
    <w:semiHidden/>
    <w:qFormat/>
    <w:uiPriority w:val="9"/>
    <w:rPr>
      <w:sz w:val="24"/>
      <w:szCs w:val="24"/>
    </w:rPr>
  </w:style>
  <w:style w:type="character" w:customStyle="1" w:styleId="31">
    <w:name w:val="标题 8 Char"/>
    <w:basedOn w:val="21"/>
    <w:link w:val="9"/>
    <w:semiHidden/>
    <w:qFormat/>
    <w:uiPriority w:val="9"/>
    <w:rPr>
      <w:i/>
      <w:iCs/>
      <w:sz w:val="24"/>
      <w:szCs w:val="24"/>
    </w:rPr>
  </w:style>
  <w:style w:type="character" w:customStyle="1" w:styleId="32">
    <w:name w:val="标题 9 Char"/>
    <w:basedOn w:val="21"/>
    <w:link w:val="10"/>
    <w:semiHidden/>
    <w:qFormat/>
    <w:uiPriority w:val="9"/>
    <w:rPr>
      <w:rFonts w:asciiTheme="majorHAnsi" w:hAnsiTheme="majorHAnsi" w:eastAsiaTheme="majorEastAsia"/>
    </w:rPr>
  </w:style>
  <w:style w:type="character" w:customStyle="1" w:styleId="33">
    <w:name w:val="标题 Char"/>
    <w:basedOn w:val="21"/>
    <w:link w:val="18"/>
    <w:qFormat/>
    <w:uiPriority w:val="10"/>
    <w:rPr>
      <w:rFonts w:asciiTheme="majorHAnsi" w:hAnsiTheme="majorHAnsi" w:eastAsiaTheme="majorEastAsia"/>
      <w:b/>
      <w:bCs/>
      <w:kern w:val="28"/>
      <w:sz w:val="32"/>
      <w:szCs w:val="32"/>
    </w:rPr>
  </w:style>
  <w:style w:type="character" w:customStyle="1" w:styleId="34">
    <w:name w:val="副标题 Char"/>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Subtle Emphasis"/>
    <w:qFormat/>
    <w:uiPriority w:val="19"/>
    <w:rPr>
      <w:i/>
      <w:color w:val="595959" w:themeColor="text1" w:themeTint="A5"/>
    </w:rPr>
  </w:style>
  <w:style w:type="character" w:customStyle="1" w:styleId="42">
    <w:name w:val="Intense Emphasis"/>
    <w:basedOn w:val="21"/>
    <w:qFormat/>
    <w:uiPriority w:val="21"/>
    <w:rPr>
      <w:b/>
      <w:i/>
      <w:sz w:val="24"/>
      <w:szCs w:val="24"/>
      <w:u w:val="single"/>
    </w:rPr>
  </w:style>
  <w:style w:type="character" w:customStyle="1" w:styleId="43">
    <w:name w:val="Subtle Reference"/>
    <w:basedOn w:val="21"/>
    <w:qFormat/>
    <w:uiPriority w:val="31"/>
    <w:rPr>
      <w:sz w:val="24"/>
      <w:szCs w:val="24"/>
      <w:u w:val="single"/>
    </w:rPr>
  </w:style>
  <w:style w:type="character" w:customStyle="1" w:styleId="44">
    <w:name w:val="Intense Reference"/>
    <w:basedOn w:val="21"/>
    <w:qFormat/>
    <w:uiPriority w:val="32"/>
    <w:rPr>
      <w:b/>
      <w:sz w:val="24"/>
      <w:u w:val="single"/>
    </w:rPr>
  </w:style>
  <w:style w:type="character" w:customStyle="1" w:styleId="45">
    <w:name w:val="Book Title"/>
    <w:basedOn w:val="21"/>
    <w:qFormat/>
    <w:uiPriority w:val="33"/>
    <w:rPr>
      <w:rFonts w:asciiTheme="majorHAnsi" w:hAnsiTheme="majorHAnsi" w:eastAsiaTheme="majorEastAsia"/>
      <w:b/>
      <w:i/>
      <w:sz w:val="24"/>
      <w:szCs w:val="24"/>
    </w:rPr>
  </w:style>
  <w:style w:type="paragraph" w:customStyle="1" w:styleId="46">
    <w:name w:val="TOC Heading"/>
    <w:basedOn w:val="2"/>
    <w:next w:val="1"/>
    <w:semiHidden/>
    <w:unhideWhenUsed/>
    <w:qFormat/>
    <w:uiPriority w:val="39"/>
    <w:pPr>
      <w:outlineLvl w:val="9"/>
    </w:pPr>
    <w:rPr>
      <w:lang w:eastAsia="en-US" w:bidi="en-US"/>
    </w:rPr>
  </w:style>
  <w:style w:type="character" w:customStyle="1" w:styleId="47">
    <w:name w:val="页眉 Char"/>
    <w:basedOn w:val="21"/>
    <w:link w:val="15"/>
    <w:qFormat/>
    <w:uiPriority w:val="99"/>
    <w:rPr>
      <w:rFonts w:ascii="Calibri" w:hAnsi="Calibri" w:eastAsia="宋体"/>
      <w:kern w:val="2"/>
      <w:sz w:val="18"/>
      <w:szCs w:val="18"/>
    </w:rPr>
  </w:style>
  <w:style w:type="character" w:customStyle="1" w:styleId="48">
    <w:name w:val="页脚 Char"/>
    <w:basedOn w:val="21"/>
    <w:link w:val="14"/>
    <w:qFormat/>
    <w:uiPriority w:val="99"/>
    <w:rPr>
      <w:rFonts w:ascii="Calibri" w:hAnsi="Calibri" w:eastAsia="宋体"/>
      <w:kern w:val="2"/>
      <w:sz w:val="18"/>
      <w:szCs w:val="18"/>
    </w:rPr>
  </w:style>
  <w:style w:type="character" w:customStyle="1" w:styleId="49">
    <w:name w:val="文档结构图 Char"/>
    <w:basedOn w:val="21"/>
    <w:link w:val="11"/>
    <w:semiHidden/>
    <w:uiPriority w:val="99"/>
    <w:rPr>
      <w:rFonts w:ascii="宋体" w:hAnsi="Times New Roman" w:eastAsia="宋体"/>
      <w:kern w:val="2"/>
      <w:sz w:val="18"/>
      <w:szCs w:val="18"/>
    </w:rPr>
  </w:style>
  <w:style w:type="character" w:customStyle="1" w:styleId="50">
    <w:name w:val="批注框文本 Char"/>
    <w:basedOn w:val="21"/>
    <w:link w:val="13"/>
    <w:semiHidden/>
    <w:qFormat/>
    <w:uiPriority w:val="99"/>
    <w:rPr>
      <w:rFonts w:ascii="Times New Roman" w:hAnsi="Times New Roman" w:eastAsia="宋体"/>
      <w:kern w:val="2"/>
      <w:sz w:val="18"/>
      <w:szCs w:val="18"/>
    </w:rPr>
  </w:style>
  <w:style w:type="paragraph" w:customStyle="1" w:styleId="51">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2019-10-19T16:49:46Z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