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CB7C27">
      <w:pPr>
        <w:spacing w:line="540" w:lineRule="exact"/>
        <w:jc w:val="center"/>
        <w:rPr>
          <w:rFonts w:ascii="华文中宋" w:eastAsia="华文中宋" w:hAnsi="华文中宋" w:cs="华文中宋"/>
          <w:b/>
          <w:bCs/>
          <w:kern w:val="0"/>
          <w:sz w:val="52"/>
          <w:szCs w:val="52"/>
          <w:lang w:val="zh-TW" w:eastAsia="zh-TW"/>
        </w:rPr>
      </w:pPr>
      <w:r>
        <w:rPr>
          <w:rFonts w:ascii="华文中宋" w:eastAsia="华文中宋" w:hAnsi="华文中宋" w:cs="华文中宋" w:hint="eastAsia"/>
          <w:b/>
          <w:bCs/>
          <w:kern w:val="0"/>
          <w:sz w:val="52"/>
          <w:szCs w:val="52"/>
          <w:lang w:val="zh-TW" w:eastAsia="zh-TW"/>
        </w:rPr>
        <w:t>自治区财政项目支出绩效自评报告</w:t>
      </w:r>
    </w:p>
    <w:p w:rsidR="00DA3D11" w:rsidRDefault="00DA3D11">
      <w:pPr>
        <w:pStyle w:val="Af8"/>
        <w:spacing w:line="540" w:lineRule="exact"/>
        <w:jc w:val="center"/>
        <w:rPr>
          <w:rFonts w:ascii="华文中宋" w:eastAsia="华文中宋" w:hAnsi="华文中宋" w:cs="华文中宋"/>
          <w:b/>
          <w:bCs/>
          <w:color w:val="auto"/>
          <w:kern w:val="0"/>
          <w:sz w:val="52"/>
          <w:szCs w:val="52"/>
          <w:lang w:val="zh-TW" w:eastAsia="zh-TW"/>
        </w:rPr>
      </w:pPr>
    </w:p>
    <w:p w:rsidR="00DA3D11" w:rsidRDefault="00DA3D11">
      <w:pPr>
        <w:pStyle w:val="Af8"/>
        <w:spacing w:line="540" w:lineRule="exact"/>
        <w:jc w:val="center"/>
        <w:rPr>
          <w:rFonts w:ascii="华文中宋" w:eastAsia="华文中宋" w:hAnsi="华文中宋" w:cs="华文中宋"/>
          <w:b/>
          <w:bCs/>
          <w:color w:val="auto"/>
          <w:kern w:val="0"/>
          <w:sz w:val="52"/>
          <w:szCs w:val="52"/>
        </w:rPr>
      </w:pPr>
    </w:p>
    <w:p w:rsidR="00DA3D11" w:rsidRDefault="00CB7C27">
      <w:pPr>
        <w:pStyle w:val="Af8"/>
        <w:spacing w:line="540" w:lineRule="exact"/>
        <w:jc w:val="center"/>
        <w:rPr>
          <w:color w:val="auto"/>
          <w:kern w:val="0"/>
          <w:sz w:val="36"/>
          <w:szCs w:val="36"/>
          <w:lang w:val="zh-TW" w:eastAsia="zh-TW"/>
        </w:rPr>
      </w:pPr>
      <w:r>
        <w:rPr>
          <w:rFonts w:ascii="仿宋_GB2312" w:eastAsia="仿宋_GB2312" w:hAnsi="仿宋_GB2312" w:cs="仿宋_GB2312"/>
          <w:color w:val="auto"/>
          <w:kern w:val="0"/>
          <w:sz w:val="36"/>
          <w:szCs w:val="36"/>
          <w:lang w:val="zh-TW" w:eastAsia="zh-TW"/>
        </w:rPr>
        <w:t>（201</w:t>
      </w:r>
      <w:r>
        <w:rPr>
          <w:rFonts w:ascii="仿宋_GB2312" w:eastAsia="仿宋_GB2312" w:hAnsi="仿宋_GB2312" w:cs="仿宋_GB2312" w:hint="eastAsia"/>
          <w:color w:val="auto"/>
          <w:kern w:val="0"/>
          <w:sz w:val="36"/>
          <w:szCs w:val="36"/>
        </w:rPr>
        <w:t>8</w:t>
      </w:r>
      <w:r>
        <w:rPr>
          <w:rFonts w:ascii="仿宋_GB2312" w:eastAsia="仿宋_GB2312" w:hAnsi="仿宋_GB2312" w:cs="仿宋_GB2312"/>
          <w:color w:val="auto"/>
          <w:kern w:val="0"/>
          <w:sz w:val="36"/>
          <w:szCs w:val="36"/>
          <w:lang w:val="zh-TW" w:eastAsia="zh-TW"/>
        </w:rPr>
        <w:t>年度）</w:t>
      </w:r>
    </w:p>
    <w:p w:rsidR="00DA3D11" w:rsidRDefault="00DA3D11">
      <w:pPr>
        <w:pStyle w:val="Af8"/>
        <w:spacing w:line="540" w:lineRule="exact"/>
        <w:jc w:val="center"/>
        <w:rPr>
          <w:color w:val="auto"/>
          <w:kern w:val="0"/>
          <w:sz w:val="30"/>
          <w:szCs w:val="30"/>
        </w:rPr>
      </w:pPr>
    </w:p>
    <w:p w:rsidR="00DA3D11" w:rsidRDefault="00DA3D11">
      <w:pPr>
        <w:pStyle w:val="Af8"/>
        <w:spacing w:line="540" w:lineRule="exact"/>
        <w:jc w:val="center"/>
        <w:rPr>
          <w:color w:val="auto"/>
          <w:kern w:val="0"/>
          <w:sz w:val="30"/>
          <w:szCs w:val="30"/>
        </w:rPr>
      </w:pPr>
    </w:p>
    <w:p w:rsidR="00DA3D11" w:rsidRDefault="00DA3D11">
      <w:pPr>
        <w:pStyle w:val="Af8"/>
        <w:spacing w:line="540" w:lineRule="exact"/>
        <w:jc w:val="center"/>
        <w:rPr>
          <w:color w:val="auto"/>
          <w:kern w:val="0"/>
          <w:sz w:val="30"/>
          <w:szCs w:val="30"/>
        </w:rPr>
      </w:pPr>
    </w:p>
    <w:p w:rsidR="00DA3D11" w:rsidRDefault="00DA3D11">
      <w:pPr>
        <w:pStyle w:val="Af8"/>
        <w:spacing w:line="540" w:lineRule="exact"/>
        <w:jc w:val="center"/>
        <w:rPr>
          <w:color w:val="auto"/>
          <w:kern w:val="0"/>
          <w:sz w:val="30"/>
          <w:szCs w:val="30"/>
        </w:rPr>
      </w:pPr>
    </w:p>
    <w:p w:rsidR="00DA3D11" w:rsidRDefault="00DA3D11">
      <w:pPr>
        <w:pStyle w:val="Af8"/>
        <w:spacing w:line="540" w:lineRule="exact"/>
        <w:jc w:val="center"/>
        <w:rPr>
          <w:color w:val="auto"/>
          <w:kern w:val="0"/>
          <w:sz w:val="30"/>
          <w:szCs w:val="30"/>
        </w:rPr>
      </w:pPr>
    </w:p>
    <w:p w:rsidR="00DA3D11" w:rsidRDefault="00CB7C27">
      <w:pPr>
        <w:spacing w:line="700" w:lineRule="exact"/>
        <w:ind w:leftChars="406" w:left="2653" w:hangingChars="500" w:hanging="1800"/>
        <w:jc w:val="left"/>
        <w:rPr>
          <w:rFonts w:eastAsia="仿宋_GB2312" w:hAnsi="宋体" w:cs="宋体"/>
          <w:kern w:val="0"/>
          <w:sz w:val="36"/>
          <w:szCs w:val="36"/>
        </w:rPr>
      </w:pPr>
      <w:r>
        <w:rPr>
          <w:rFonts w:eastAsia="仿宋_GB2312" w:hAnsi="宋体" w:cs="宋体" w:hint="eastAsia"/>
          <w:kern w:val="0"/>
          <w:sz w:val="36"/>
          <w:szCs w:val="36"/>
        </w:rPr>
        <w:t>项目名称：喀什北部产业园</w:t>
      </w:r>
      <w:proofErr w:type="gramStart"/>
      <w:r>
        <w:rPr>
          <w:rFonts w:eastAsia="仿宋_GB2312" w:hAnsi="宋体" w:cs="宋体" w:hint="eastAsia"/>
          <w:kern w:val="0"/>
          <w:sz w:val="36"/>
          <w:szCs w:val="36"/>
        </w:rPr>
        <w:t>及综保区</w:t>
      </w:r>
      <w:proofErr w:type="gramEnd"/>
      <w:r>
        <w:rPr>
          <w:rFonts w:eastAsia="仿宋_GB2312" w:hAnsi="宋体" w:cs="宋体" w:hint="eastAsia"/>
          <w:kern w:val="0"/>
          <w:sz w:val="36"/>
          <w:szCs w:val="36"/>
        </w:rPr>
        <w:t>配套设施建设项目</w:t>
      </w:r>
    </w:p>
    <w:p w:rsidR="00DA3D11" w:rsidRDefault="00CB7C2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实施单位（公章）：喀什综合保税区管理委员会</w:t>
      </w:r>
    </w:p>
    <w:p w:rsidR="00DA3D11" w:rsidRDefault="00CB7C2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主管部门（公章）：喀什综合保税区管理委员会</w:t>
      </w:r>
    </w:p>
    <w:p w:rsidR="00DA3D11" w:rsidRDefault="00CB7C2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项目负责人（签章）：白灿</w:t>
      </w:r>
    </w:p>
    <w:p w:rsidR="00DA3D11" w:rsidRDefault="00CB7C27">
      <w:pPr>
        <w:spacing w:line="700" w:lineRule="exact"/>
        <w:ind w:firstLineChars="236" w:firstLine="850"/>
        <w:jc w:val="left"/>
        <w:rPr>
          <w:rStyle w:val="af0"/>
          <w:rFonts w:ascii="黑体" w:eastAsia="黑体" w:hAnsi="黑体"/>
          <w:b w:val="0"/>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p>
    <w:p w:rsidR="00DA3D11" w:rsidRDefault="00CB7C27">
      <w:pPr>
        <w:pStyle w:val="Af8"/>
        <w:spacing w:line="700" w:lineRule="exact"/>
        <w:jc w:val="left"/>
        <w:rPr>
          <w:rStyle w:val="af0"/>
          <w:rFonts w:ascii="黑体" w:eastAsia="黑体" w:hAnsi="黑体"/>
          <w:b w:val="0"/>
          <w:color w:val="auto"/>
          <w:spacing w:val="-4"/>
          <w:sz w:val="32"/>
          <w:szCs w:val="32"/>
        </w:rPr>
      </w:pPr>
      <w:r>
        <w:rPr>
          <w:rStyle w:val="af0"/>
          <w:rFonts w:ascii="黑体" w:eastAsia="黑体" w:hAnsi="黑体" w:hint="eastAsia"/>
          <w:b w:val="0"/>
          <w:color w:val="auto"/>
          <w:spacing w:val="-4"/>
          <w:sz w:val="32"/>
          <w:szCs w:val="32"/>
        </w:rPr>
        <w:lastRenderedPageBreak/>
        <w:t>一、项目概况</w:t>
      </w:r>
    </w:p>
    <w:p w:rsidR="00DA3D11" w:rsidRDefault="00CB7C27">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（一）项目单位基本情况</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喀什综合保税区是南疆四地州唯一的海关特殊监管区域，我国向西开放窗口，2012年4月13日开工建设，2014年9月2日获得国务院批复，2015年1月8日通过了由海关总署牵头的国家十部委联合验收，4月20日正式封关运营。规划有保税仓储、保税加工、口岸操作、航空货运和综合配套服务等五大功能区，具备保税仓储、国际中转、国际采购、国际配送、国际转口贸易和保税加工等功能。编制数9人，其中：行政人员编制4人，全额拨款事业单位人员编制5人。</w:t>
      </w:r>
    </w:p>
    <w:p w:rsidR="00DA3D11" w:rsidRDefault="00CB7C27">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（二）项目预算</w:t>
      </w:r>
      <w:r>
        <w:rPr>
          <w:rStyle w:val="af0"/>
          <w:rFonts w:ascii="楷体" w:eastAsia="楷体" w:hAnsi="楷体"/>
          <w:spacing w:val="-4"/>
          <w:sz w:val="32"/>
          <w:szCs w:val="32"/>
        </w:rPr>
        <w:t>绩效目标</w:t>
      </w:r>
      <w:r>
        <w:rPr>
          <w:rStyle w:val="af0"/>
          <w:rFonts w:ascii="楷体" w:eastAsia="楷体" w:hAnsi="楷体" w:hint="eastAsia"/>
          <w:spacing w:val="-4"/>
          <w:sz w:val="32"/>
          <w:szCs w:val="32"/>
        </w:rPr>
        <w:t>设定情况</w:t>
      </w:r>
    </w:p>
    <w:p w:rsidR="00DA3D11" w:rsidRDefault="00CB7C2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本项目2018年目标是：喀什北部产业园</w:t>
      </w:r>
      <w:proofErr w:type="gramStart"/>
      <w:r>
        <w:rPr>
          <w:rFonts w:ascii="仿宋" w:eastAsia="仿宋" w:hAnsi="仿宋" w:hint="eastAsia"/>
          <w:spacing w:val="-4"/>
          <w:sz w:val="32"/>
          <w:szCs w:val="32"/>
        </w:rPr>
        <w:t>及综保区</w:t>
      </w:r>
      <w:proofErr w:type="gramEnd"/>
      <w:r>
        <w:rPr>
          <w:rFonts w:ascii="仿宋" w:eastAsia="仿宋" w:hAnsi="仿宋" w:hint="eastAsia"/>
          <w:spacing w:val="-4"/>
          <w:sz w:val="32"/>
          <w:szCs w:val="32"/>
        </w:rPr>
        <w:t>配套设施建设项目含5个子单位工程：</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喀什海关查验中心配套设施工程；2、喀什综合保税区配套服务区围网及</w:t>
      </w:r>
      <w:r w:rsidR="00677E8C">
        <w:rPr>
          <w:rFonts w:ascii="仿宋" w:eastAsia="仿宋" w:hAnsi="仿宋" w:hint="eastAsia"/>
          <w:spacing w:val="-4"/>
          <w:sz w:val="32"/>
          <w:szCs w:val="32"/>
        </w:rPr>
        <w:t>防护</w:t>
      </w:r>
      <w:r>
        <w:rPr>
          <w:rFonts w:ascii="仿宋" w:eastAsia="仿宋" w:hAnsi="仿宋" w:hint="eastAsia"/>
          <w:spacing w:val="-4"/>
          <w:sz w:val="32"/>
          <w:szCs w:val="32"/>
        </w:rPr>
        <w:t>项目；3、喀什综合保税区公租房室外附属及绿化工程建设项目；4、喀什综合保税区海关信息化系统升级改造、系统更新升级项目；5、喀什综合保税区标准厂房建设项目。</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其中海关查验中心临时通道、查验中心围网属于喀什海关查验中心配套设施工程。</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1、喀什海关查验中心配套设施工程：海关查验中心现场临时通道完成新建10米</w:t>
      </w:r>
      <w:proofErr w:type="gramStart"/>
      <w:r>
        <w:rPr>
          <w:rFonts w:ascii="仿宋" w:eastAsia="仿宋" w:hAnsi="仿宋" w:hint="eastAsia"/>
          <w:spacing w:val="-4"/>
          <w:sz w:val="32"/>
          <w:szCs w:val="32"/>
        </w:rPr>
        <w:t>宽临时</w:t>
      </w:r>
      <w:proofErr w:type="gramEnd"/>
      <w:r>
        <w:rPr>
          <w:rFonts w:ascii="仿宋" w:eastAsia="仿宋" w:hAnsi="仿宋" w:hint="eastAsia"/>
          <w:spacing w:val="-4"/>
          <w:sz w:val="32"/>
          <w:szCs w:val="32"/>
        </w:rPr>
        <w:t>通道长度330米（3800平方米），</w:t>
      </w:r>
      <w:proofErr w:type="gramStart"/>
      <w:r>
        <w:rPr>
          <w:rFonts w:ascii="仿宋" w:eastAsia="仿宋" w:hAnsi="仿宋" w:hint="eastAsia"/>
          <w:spacing w:val="-4"/>
          <w:sz w:val="32"/>
          <w:szCs w:val="32"/>
        </w:rPr>
        <w:t>拆除综保区外侧</w:t>
      </w:r>
      <w:proofErr w:type="gramEnd"/>
      <w:r>
        <w:rPr>
          <w:rFonts w:ascii="仿宋" w:eastAsia="仿宋" w:hAnsi="仿宋" w:hint="eastAsia"/>
          <w:spacing w:val="-4"/>
          <w:sz w:val="32"/>
          <w:szCs w:val="32"/>
        </w:rPr>
        <w:t>原有成品围网8片，破拆围网混凝土基</w:t>
      </w:r>
      <w:r>
        <w:rPr>
          <w:rFonts w:ascii="仿宋" w:eastAsia="仿宋" w:hAnsi="仿宋" w:hint="eastAsia"/>
          <w:spacing w:val="-4"/>
          <w:sz w:val="32"/>
          <w:szCs w:val="32"/>
        </w:rPr>
        <w:lastRenderedPageBreak/>
        <w:t>础13米。</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2、北部产业园</w:t>
      </w:r>
      <w:proofErr w:type="gramStart"/>
      <w:r>
        <w:rPr>
          <w:rFonts w:ascii="仿宋" w:eastAsia="仿宋" w:hAnsi="仿宋" w:hint="eastAsia"/>
          <w:spacing w:val="-4"/>
          <w:sz w:val="32"/>
          <w:szCs w:val="32"/>
        </w:rPr>
        <w:t>及综保区</w:t>
      </w:r>
      <w:proofErr w:type="gramEnd"/>
      <w:r>
        <w:rPr>
          <w:rFonts w:ascii="仿宋" w:eastAsia="仿宋" w:hAnsi="仿宋" w:hint="eastAsia"/>
          <w:spacing w:val="-4"/>
          <w:sz w:val="32"/>
          <w:szCs w:val="32"/>
        </w:rPr>
        <w:t>配套建设项目-</w:t>
      </w:r>
      <w:proofErr w:type="gramStart"/>
      <w:r>
        <w:rPr>
          <w:rFonts w:ascii="仿宋" w:eastAsia="仿宋" w:hAnsi="仿宋" w:hint="eastAsia"/>
          <w:spacing w:val="-4"/>
          <w:sz w:val="32"/>
          <w:szCs w:val="32"/>
        </w:rPr>
        <w:t>综保区</w:t>
      </w:r>
      <w:proofErr w:type="gramEnd"/>
      <w:r>
        <w:rPr>
          <w:rFonts w:ascii="仿宋" w:eastAsia="仿宋" w:hAnsi="仿宋" w:hint="eastAsia"/>
          <w:spacing w:val="-4"/>
          <w:sz w:val="32"/>
          <w:szCs w:val="32"/>
        </w:rPr>
        <w:t>公租房附属配套设施项目完成竣工结算审计工作；</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3、喀什海关查验中心配套设施工程：查验中心配套设施第一标段施工完成竣工结算审计工作；</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4、喀什海关查验中心配套设施工程：查验中心围网工程完成竣工结算审计工作；</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5、喀什海关查验中心配套设施工程：查验中心配套设施项目完成竣工结算审计工作。</w:t>
      </w:r>
    </w:p>
    <w:p w:rsidR="00DA3D11" w:rsidRDefault="00CB7C2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DA3D11" w:rsidRDefault="00CB7C2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本项目性质为延续项目。</w:t>
      </w:r>
    </w:p>
    <w:p w:rsidR="00DA3D11" w:rsidRDefault="00CB7C2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DA3D11" w:rsidRDefault="00CB7C27">
      <w:pPr>
        <w:adjustRightInd w:val="0"/>
        <w:snapToGrid w:val="0"/>
        <w:spacing w:line="560" w:lineRule="exact"/>
        <w:ind w:firstLineChars="200" w:firstLine="624"/>
        <w:outlineLvl w:val="0"/>
        <w:rPr>
          <w:rStyle w:val="af0"/>
          <w:rFonts w:ascii="黑体" w:eastAsia="黑体" w:hAnsi="黑体"/>
          <w:b w:val="0"/>
          <w:spacing w:val="-4"/>
          <w:sz w:val="32"/>
          <w:szCs w:val="32"/>
        </w:rPr>
      </w:pPr>
      <w:r>
        <w:rPr>
          <w:rFonts w:ascii="仿宋" w:eastAsia="仿宋" w:hAnsi="仿宋" w:hint="eastAsia"/>
          <w:bCs/>
          <w:spacing w:val="-4"/>
          <w:sz w:val="32"/>
          <w:szCs w:val="32"/>
        </w:rPr>
        <w:t>喀什北部产业园</w:t>
      </w:r>
      <w:proofErr w:type="gramStart"/>
      <w:r>
        <w:rPr>
          <w:rFonts w:ascii="仿宋" w:eastAsia="仿宋" w:hAnsi="仿宋" w:hint="eastAsia"/>
          <w:bCs/>
          <w:spacing w:val="-4"/>
          <w:sz w:val="32"/>
          <w:szCs w:val="32"/>
        </w:rPr>
        <w:t>及综保区</w:t>
      </w:r>
      <w:proofErr w:type="gramEnd"/>
      <w:r>
        <w:rPr>
          <w:rFonts w:ascii="仿宋" w:eastAsia="仿宋" w:hAnsi="仿宋" w:hint="eastAsia"/>
          <w:bCs/>
          <w:spacing w:val="-4"/>
          <w:sz w:val="32"/>
          <w:szCs w:val="32"/>
        </w:rPr>
        <w:t>配套设施建设项目</w:t>
      </w:r>
      <w:r>
        <w:rPr>
          <w:rFonts w:eastAsia="仿宋_GB2312" w:hAnsi="宋体" w:cs="宋体" w:hint="eastAsia"/>
          <w:kern w:val="0"/>
          <w:sz w:val="32"/>
          <w:szCs w:val="32"/>
        </w:rPr>
        <w:t>有利于完善保税基础设施，为保税区的早日建成运营打下坚实的基础</w:t>
      </w:r>
      <w:r>
        <w:rPr>
          <w:rFonts w:ascii="仿宋" w:eastAsia="仿宋" w:hAnsi="仿宋" w:hint="eastAsia"/>
          <w:bCs/>
          <w:spacing w:val="-4"/>
          <w:sz w:val="32"/>
          <w:szCs w:val="32"/>
        </w:rPr>
        <w:t>，包括海关查验中心现场临时通道、</w:t>
      </w:r>
      <w:proofErr w:type="gramStart"/>
      <w:r>
        <w:rPr>
          <w:rFonts w:ascii="仿宋" w:eastAsia="仿宋" w:hAnsi="仿宋" w:hint="eastAsia"/>
          <w:bCs/>
          <w:spacing w:val="-4"/>
          <w:sz w:val="32"/>
          <w:szCs w:val="32"/>
        </w:rPr>
        <w:t>综保区</w:t>
      </w:r>
      <w:proofErr w:type="gramEnd"/>
      <w:r>
        <w:rPr>
          <w:rFonts w:ascii="仿宋" w:eastAsia="仿宋" w:hAnsi="仿宋" w:hint="eastAsia"/>
          <w:bCs/>
          <w:spacing w:val="-4"/>
          <w:sz w:val="32"/>
          <w:szCs w:val="32"/>
        </w:rPr>
        <w:t>公租房附属配套设施。</w:t>
      </w:r>
    </w:p>
    <w:p w:rsidR="00DA3D11" w:rsidRDefault="00CB7C2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二、项目资金使用及管理情况</w:t>
      </w:r>
    </w:p>
    <w:p w:rsidR="00DA3D11" w:rsidRDefault="00CB7C2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（一）项目资金安排落实、总投入等情况分析</w:t>
      </w:r>
    </w:p>
    <w:p w:rsidR="00DA3D11" w:rsidRDefault="00CB7C2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喀什北部产业园</w:t>
      </w:r>
      <w:proofErr w:type="gramStart"/>
      <w:r>
        <w:rPr>
          <w:rFonts w:ascii="仿宋" w:eastAsia="仿宋" w:hAnsi="仿宋" w:hint="eastAsia"/>
          <w:bCs/>
          <w:spacing w:val="-4"/>
          <w:sz w:val="32"/>
          <w:szCs w:val="32"/>
        </w:rPr>
        <w:t>及综保区</w:t>
      </w:r>
      <w:proofErr w:type="gramEnd"/>
      <w:r>
        <w:rPr>
          <w:rFonts w:ascii="仿宋" w:eastAsia="仿宋" w:hAnsi="仿宋" w:hint="eastAsia"/>
          <w:bCs/>
          <w:spacing w:val="-4"/>
          <w:sz w:val="32"/>
          <w:szCs w:val="32"/>
        </w:rPr>
        <w:t>配套设施建设项目</w:t>
      </w:r>
      <w:r>
        <w:rPr>
          <w:rFonts w:ascii="仿宋" w:eastAsia="仿宋" w:hAnsi="仿宋" w:hint="eastAsia"/>
          <w:sz w:val="32"/>
          <w:szCs w:val="32"/>
        </w:rPr>
        <w:t>预算安排总额为558.61万元，其中</w:t>
      </w:r>
      <w:proofErr w:type="gramStart"/>
      <w:r>
        <w:rPr>
          <w:rFonts w:ascii="仿宋" w:eastAsia="仿宋" w:hAnsi="仿宋" w:hint="eastAsia"/>
          <w:sz w:val="32"/>
          <w:szCs w:val="32"/>
        </w:rPr>
        <w:t>援疆资金</w:t>
      </w:r>
      <w:proofErr w:type="gramEnd"/>
      <w:r>
        <w:rPr>
          <w:rFonts w:ascii="仿宋" w:eastAsia="仿宋" w:hAnsi="仿宋" w:hint="eastAsia"/>
          <w:sz w:val="32"/>
          <w:szCs w:val="32"/>
        </w:rPr>
        <w:t>558.61万元，2018年实际收到预算资金558.61万元。</w:t>
      </w:r>
    </w:p>
    <w:p w:rsidR="00DA3D11" w:rsidRDefault="00CB7C2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（二）项目资金实际使用情况分析</w:t>
      </w:r>
    </w:p>
    <w:p w:rsidR="00DA3D11" w:rsidRDefault="00CB7C27">
      <w:pPr>
        <w:adjustRightInd w:val="0"/>
        <w:snapToGrid w:val="0"/>
        <w:spacing w:line="560" w:lineRule="exact"/>
        <w:ind w:firstLineChars="200" w:firstLine="624"/>
        <w:rPr>
          <w:rFonts w:ascii="仿宋" w:eastAsia="仿宋_GB2312" w:hAnsi="仿宋"/>
          <w:bCs/>
          <w:spacing w:val="-4"/>
          <w:sz w:val="32"/>
          <w:szCs w:val="32"/>
        </w:rPr>
      </w:pPr>
      <w:r>
        <w:rPr>
          <w:rFonts w:ascii="仿宋" w:eastAsia="仿宋" w:hAnsi="仿宋" w:hint="eastAsia"/>
          <w:bCs/>
          <w:spacing w:val="-4"/>
          <w:sz w:val="32"/>
          <w:szCs w:val="32"/>
        </w:rPr>
        <w:t>截止2018年12月，本项目实际支付资金</w:t>
      </w:r>
      <w:r>
        <w:rPr>
          <w:rFonts w:ascii="仿宋" w:eastAsia="仿宋" w:hAnsi="仿宋" w:hint="eastAsia"/>
          <w:sz w:val="32"/>
          <w:szCs w:val="32"/>
        </w:rPr>
        <w:t>558.61</w:t>
      </w:r>
      <w:r>
        <w:rPr>
          <w:rFonts w:ascii="仿宋" w:eastAsia="仿宋" w:hAnsi="仿宋" w:hint="eastAsia"/>
          <w:bCs/>
          <w:spacing w:val="-4"/>
          <w:sz w:val="32"/>
          <w:szCs w:val="32"/>
        </w:rPr>
        <w:t>万元，预算执行率为100%。用于</w:t>
      </w:r>
      <w:r>
        <w:rPr>
          <w:rFonts w:eastAsia="仿宋_GB2312" w:hAnsi="宋体" w:cs="宋体" w:hint="eastAsia"/>
          <w:kern w:val="0"/>
          <w:sz w:val="32"/>
          <w:szCs w:val="32"/>
        </w:rPr>
        <w:t>喀什综合保税区公租房室外附属及</w:t>
      </w:r>
      <w:r>
        <w:rPr>
          <w:rFonts w:eastAsia="仿宋_GB2312" w:hAnsi="宋体" w:cs="宋体" w:hint="eastAsia"/>
          <w:kern w:val="0"/>
          <w:sz w:val="32"/>
          <w:szCs w:val="32"/>
        </w:rPr>
        <w:lastRenderedPageBreak/>
        <w:t>绿化工程建设项目。</w:t>
      </w:r>
    </w:p>
    <w:p w:rsidR="00DA3D11" w:rsidRDefault="00CB7C2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（三）项目资金管理情况分析</w:t>
      </w:r>
    </w:p>
    <w:p w:rsidR="00DA3D11" w:rsidRDefault="00CB7C2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制定资金使用计划，严格按照喀什综合保税区管委会专项资金管理使用的规定等要求执行，确保合理合法管理使用该项目资金，未出现浪费、闲置、挪用资金情况。</w:t>
      </w:r>
    </w:p>
    <w:p w:rsidR="00DA3D11" w:rsidRDefault="00CB7C2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三、项目组织实施情况</w:t>
      </w:r>
    </w:p>
    <w:p w:rsidR="00DA3D11" w:rsidRDefault="00CB7C2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（一）项目组织情况分析</w:t>
      </w:r>
    </w:p>
    <w:p w:rsidR="00DA3D11" w:rsidRDefault="00CB7C2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为组织协调本项目各方面工作，如期完成项目建设任务，达到预期目标，成立项目建设领导小组，领导小组由喀什综合保税区管理委员会牵头组成。项目建设领导小组职责：履行建设初期组织管理机构职能；具体负责本项目的制定和组织，负责项目实施任务的落实，加强项目实施管理和监督资金合理使用、建设工程的质量管理、现场技术指导、专项培训等工作。解决实施中出现的问题。进行项目年度总结，开展技术交流协作等工作，保证项目顺利实施。</w:t>
      </w:r>
    </w:p>
    <w:p w:rsidR="00DA3D11" w:rsidRDefault="00CB7C2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（二）项目管理情况分析</w:t>
      </w:r>
    </w:p>
    <w:p w:rsidR="00DA3D11" w:rsidRDefault="00CB7C27" w:rsidP="00474BC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按年度开展项目支出绩效</w:t>
      </w:r>
      <w:r w:rsidR="00474BC0">
        <w:rPr>
          <w:rFonts w:ascii="仿宋" w:eastAsia="仿宋" w:hAnsi="仿宋" w:hint="eastAsia"/>
          <w:bCs/>
          <w:spacing w:val="-4"/>
          <w:sz w:val="32"/>
          <w:szCs w:val="32"/>
        </w:rPr>
        <w:t>跟踪</w:t>
      </w:r>
      <w:r>
        <w:rPr>
          <w:rFonts w:ascii="仿宋" w:eastAsia="仿宋" w:hAnsi="仿宋" w:hint="eastAsia"/>
          <w:bCs/>
          <w:spacing w:val="-4"/>
          <w:sz w:val="32"/>
          <w:szCs w:val="32"/>
        </w:rPr>
        <w:t>工作,及时收集汇总季度目标完成情况,发现严重偏差,及时反馈,采取有效措施,重点跟踪,及时纠偏,阶段性任务能够按计划完成,全年性任务能够按序时进度执行,保证了年度目标任务完成。</w:t>
      </w:r>
    </w:p>
    <w:p w:rsidR="00DA3D11" w:rsidRDefault="00CB7C27">
      <w:pPr>
        <w:adjustRightInd w:val="0"/>
        <w:snapToGrid w:val="0"/>
        <w:spacing w:line="560" w:lineRule="exact"/>
        <w:ind w:firstLineChars="200" w:firstLine="624"/>
        <w:outlineLvl w:val="0"/>
        <w:rPr>
          <w:rStyle w:val="af0"/>
          <w:rFonts w:ascii="黑体" w:eastAsia="黑体" w:hAnsi="黑体"/>
        </w:rPr>
      </w:pPr>
      <w:r>
        <w:rPr>
          <w:rStyle w:val="af0"/>
          <w:rFonts w:ascii="黑体" w:eastAsia="黑体" w:hAnsi="黑体" w:hint="eastAsia"/>
          <w:b w:val="0"/>
          <w:spacing w:val="-4"/>
          <w:sz w:val="32"/>
          <w:szCs w:val="32"/>
        </w:rPr>
        <w:t>四、项目绩效情况</w:t>
      </w:r>
    </w:p>
    <w:p w:rsidR="00DA3D11" w:rsidRDefault="00CB7C27">
      <w:pPr>
        <w:adjustRightInd w:val="0"/>
        <w:snapToGrid w:val="0"/>
        <w:spacing w:line="560" w:lineRule="exact"/>
        <w:ind w:firstLineChars="200" w:firstLine="627"/>
        <w:outlineLvl w:val="0"/>
        <w:rPr>
          <w:rStyle w:val="af0"/>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DA3D11" w:rsidRDefault="00CB7C2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31</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29</w:t>
      </w:r>
      <w:r>
        <w:rPr>
          <w:rFonts w:ascii="仿宋" w:eastAsia="仿宋" w:hAnsi="仿宋"/>
          <w:bCs/>
          <w:spacing w:val="-4"/>
          <w:sz w:val="32"/>
          <w:szCs w:val="32"/>
        </w:rPr>
        <w:t>个</w:t>
      </w:r>
      <w:r>
        <w:rPr>
          <w:rFonts w:ascii="仿宋" w:eastAsia="仿宋" w:hAnsi="仿宋" w:hint="eastAsia"/>
          <w:bCs/>
          <w:spacing w:val="-4"/>
          <w:sz w:val="32"/>
          <w:szCs w:val="32"/>
        </w:rPr>
        <w:t>，指标完成率为93.55%。</w:t>
      </w:r>
    </w:p>
    <w:p w:rsidR="00DA3D11" w:rsidRDefault="00CB7C2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lastRenderedPageBreak/>
        <w:t>效率性：</w:t>
      </w:r>
      <w:r>
        <w:rPr>
          <w:rFonts w:ascii="仿宋" w:eastAsia="仿宋" w:hAnsi="仿宋" w:hint="eastAsia"/>
          <w:bCs/>
          <w:spacing w:val="-4"/>
          <w:sz w:val="32"/>
          <w:szCs w:val="32"/>
        </w:rPr>
        <w:t>按实际需要进行申请拨付，及时实施该项目，</w:t>
      </w:r>
      <w:r>
        <w:rPr>
          <w:rStyle w:val="af0"/>
          <w:rFonts w:ascii="仿宋" w:eastAsia="仿宋" w:hAnsi="仿宋" w:hint="eastAsia"/>
          <w:b w:val="0"/>
          <w:spacing w:val="-4"/>
          <w:sz w:val="32"/>
          <w:szCs w:val="32"/>
        </w:rPr>
        <w:t>项目的实施进度100%、完成质量100%。</w:t>
      </w:r>
    </w:p>
    <w:p w:rsidR="00DA3D11" w:rsidRDefault="00CB7C27">
      <w:pPr>
        <w:adjustRightInd w:val="0"/>
        <w:snapToGrid w:val="0"/>
        <w:spacing w:line="560" w:lineRule="exact"/>
        <w:ind w:firstLineChars="200" w:firstLine="624"/>
        <w:outlineLvl w:val="0"/>
        <w:rPr>
          <w:rFonts w:ascii="仿宋" w:eastAsia="仿宋_GB2312" w:hAnsi="仿宋"/>
          <w:bCs/>
          <w:spacing w:val="-4"/>
          <w:sz w:val="32"/>
          <w:szCs w:val="32"/>
        </w:rPr>
      </w:pPr>
      <w:r>
        <w:rPr>
          <w:rFonts w:ascii="仿宋" w:eastAsia="仿宋" w:hAnsi="仿宋" w:hint="eastAsia"/>
          <w:bCs/>
          <w:spacing w:val="-4"/>
          <w:sz w:val="32"/>
          <w:szCs w:val="32"/>
        </w:rPr>
        <w:t>效益性：</w:t>
      </w:r>
      <w:r>
        <w:rPr>
          <w:rFonts w:eastAsia="仿宋_GB2312" w:hAnsi="宋体" w:cs="宋体" w:hint="eastAsia"/>
          <w:kern w:val="0"/>
          <w:sz w:val="32"/>
          <w:szCs w:val="32"/>
        </w:rPr>
        <w:t>保税区建成后将极大改善喀什的投融资环境、提升喀什的对外贸易竞争能力，对喀什的经济、就业和和谐有着巨大的促进作用。</w:t>
      </w:r>
    </w:p>
    <w:p w:rsidR="00DA3D11" w:rsidRDefault="00CB7C2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DA3D11" w:rsidRDefault="00CB7C2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五、其他需要说明的问题</w:t>
      </w:r>
    </w:p>
    <w:p w:rsidR="00DA3D11" w:rsidRDefault="00CB7C2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DA3D11" w:rsidRDefault="00CB7C27">
      <w:pPr>
        <w:spacing w:line="360" w:lineRule="auto"/>
        <w:ind w:firstLineChars="181" w:firstLine="565"/>
        <w:rPr>
          <w:rFonts w:ascii="仿宋" w:eastAsia="仿宋" w:hAnsi="仿宋"/>
          <w:bCs/>
          <w:spacing w:val="-4"/>
          <w:sz w:val="32"/>
          <w:szCs w:val="32"/>
        </w:rPr>
      </w:pPr>
      <w:r>
        <w:rPr>
          <w:rStyle w:val="af0"/>
          <w:rFonts w:ascii="仿宋_GB2312" w:eastAsia="仿宋_GB2312" w:hint="eastAsia"/>
          <w:b w:val="0"/>
          <w:spacing w:val="-4"/>
          <w:sz w:val="32"/>
          <w:szCs w:val="32"/>
        </w:rPr>
        <w:t>按正常程序推进后续工作。</w:t>
      </w:r>
    </w:p>
    <w:p w:rsidR="00DA3D11" w:rsidRDefault="00CB7C2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DA3D11" w:rsidRDefault="00CB7C27">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DA3D11" w:rsidRDefault="00CB7C27">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1）对资金筹集和运用要</w:t>
      </w:r>
      <w:proofErr w:type="gramStart"/>
      <w:r>
        <w:rPr>
          <w:rFonts w:ascii="仿宋" w:eastAsia="仿宋" w:hAnsi="仿宋" w:hint="eastAsia"/>
          <w:bCs/>
          <w:spacing w:val="-4"/>
          <w:kern w:val="2"/>
          <w:sz w:val="32"/>
          <w:szCs w:val="32"/>
        </w:rPr>
        <w:t>作出</w:t>
      </w:r>
      <w:proofErr w:type="gramEnd"/>
      <w:r>
        <w:rPr>
          <w:rFonts w:ascii="仿宋" w:eastAsia="仿宋" w:hAnsi="仿宋" w:hint="eastAsia"/>
          <w:bCs/>
          <w:spacing w:val="-4"/>
          <w:kern w:val="2"/>
          <w:sz w:val="32"/>
          <w:szCs w:val="32"/>
        </w:rPr>
        <w:t>详尽可靠的安排，避免因资金不到位影响项目建设进度，进而造成更深层次的影响。</w:t>
      </w:r>
    </w:p>
    <w:p w:rsidR="00DA3D11" w:rsidRDefault="00CB7C27">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2）力求建设项目达到适用、经济和美观的要求。在设计阶段要与设计单位严密对接，严格遵循方案设计、初步设计、施工图设计的要求，逐步深化设计，在各个环节上以满足使用功能为目标，全面分析、研究、比较、优化；</w:t>
      </w:r>
    </w:p>
    <w:p w:rsidR="00DA3D11" w:rsidRDefault="00CB7C27">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3）注重限额设计。项目设计和建设中严格控制面积标准、装饰装修标准，采用限额设计，严格控制建设投资。</w:t>
      </w:r>
    </w:p>
    <w:p w:rsidR="00DA3D11" w:rsidRDefault="00CB7C27">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lastRenderedPageBreak/>
        <w:t>4）在项目建设过程中，严格执行国家基本建设程序，加强管理，实行招投标制度、工程监理制度，确保工程质量，符合环境保护要求，及资金的严格控管。</w:t>
      </w:r>
    </w:p>
    <w:p w:rsidR="00DA3D11" w:rsidRDefault="00CB7C2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2、存在的问题。无</w:t>
      </w:r>
    </w:p>
    <w:p w:rsidR="00DA3D11" w:rsidRDefault="00CB7C2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3、建议。无</w:t>
      </w:r>
    </w:p>
    <w:p w:rsidR="00DA3D11" w:rsidRDefault="00CB7C2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w:t>
      </w:r>
      <w:bookmarkStart w:id="0" w:name="_GoBack"/>
      <w:bookmarkEnd w:id="0"/>
      <w:r>
        <w:rPr>
          <w:rFonts w:ascii="楷体" w:eastAsia="楷体" w:hAnsi="楷体" w:hint="eastAsia"/>
          <w:b/>
          <w:spacing w:val="-4"/>
          <w:sz w:val="32"/>
          <w:szCs w:val="32"/>
        </w:rPr>
        <w:t>他</w:t>
      </w:r>
    </w:p>
    <w:p w:rsidR="00DA3D11" w:rsidRDefault="00CB7C2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DA3D11" w:rsidRDefault="00CB7C27">
      <w:pPr>
        <w:adjustRightInd w:val="0"/>
        <w:snapToGrid w:val="0"/>
        <w:spacing w:line="560" w:lineRule="exact"/>
        <w:ind w:firstLineChars="200" w:firstLine="624"/>
        <w:outlineLvl w:val="0"/>
        <w:rPr>
          <w:rFonts w:ascii="黑体" w:eastAsia="黑体" w:hAnsi="黑体"/>
          <w:bCs/>
          <w:spacing w:val="-4"/>
          <w:sz w:val="32"/>
          <w:szCs w:val="32"/>
        </w:rPr>
      </w:pPr>
      <w:r>
        <w:rPr>
          <w:rStyle w:val="af0"/>
          <w:rFonts w:ascii="黑体" w:eastAsia="黑体" w:hAnsi="黑体" w:hint="eastAsia"/>
          <w:b w:val="0"/>
          <w:spacing w:val="-4"/>
          <w:sz w:val="32"/>
          <w:szCs w:val="32"/>
        </w:rPr>
        <w:t>六、项目评价工作情况</w:t>
      </w:r>
    </w:p>
    <w:p w:rsidR="00DA3D11" w:rsidRDefault="00CB7C2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1、喀什海关查验中心配套设施工程</w:t>
      </w:r>
    </w:p>
    <w:p w:rsidR="00DA3D11" w:rsidRDefault="00CB7C2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本项目属于市政公用设施工程，具有明显的社会、环境效益和间接经济效益。项目建设有利于完善保税基础设施，为保税区的早日建成运营打下坚实的基础。保税区建成后将极大改善喀什的投融资环境、提升喀什的对外贸易竞争能力，对喀什的经济、就业和和谐有着巨大的促进作用。</w:t>
      </w:r>
    </w:p>
    <w:p w:rsidR="00DA3D11" w:rsidRDefault="00CB7C2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2、喀什综合保税区公租房室外附属及绿化工程建设项目</w:t>
      </w:r>
    </w:p>
    <w:p w:rsidR="00DA3D11" w:rsidRDefault="00CB7C2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本工程是完善喀什市社会保障制度，保障城镇困难群众基本生活的重大项目，项目实施社会意义重大。就当地的居民而言，对国家大政方针十分支持，普遍持欢迎态度。本工程的实施中会涉及多个部门、单位，需要各部门和单位的积极配合与参与，这些部门也是项目的直接或间接受益者，它们普遍对本工程的建设和运营持支持和配合态度。公共租赁住房建设有利于促进我国住房保障体系的完善，其是有效 解决我国城镇“夹心层”住房问题的重要途径。在当前构建和谐社会的大背景下，公租房项目的建设对于保障我国逐步庞大的弱势群体，尤其是</w:t>
      </w:r>
      <w:r>
        <w:rPr>
          <w:rFonts w:ascii="仿宋" w:eastAsia="仿宋" w:hAnsi="仿宋" w:hint="eastAsia"/>
          <w:spacing w:val="-4"/>
          <w:sz w:val="32"/>
          <w:szCs w:val="32"/>
        </w:rPr>
        <w:lastRenderedPageBreak/>
        <w:t>“夹心层”群众的居住权利，实现社会公平，具有非常重要的现实意义。公共租赁住房建设项目作为社会公益性建设项目，社会效益较大。目前中国房地产市场正处在发展前期，市场的资源配置作用尚不能充分 体现，在这个阶段，政府是住房保障的主导力量。公共租赁住房建设的目的就是为了尽快增加住房的供给，政府发挥土地、资本等资源优势，直接建造公共租赁住房提供给低收入居民，用较短的时间使住房供应总量上升，解决社会低收入家庭的居住需求问题，并可以在一定程度上缓解房价过快上涨。因此，该项目建设是一项关系民生、构建和谐的惠民工程，项目的实施有利于解决困难群众、弱势群体、低收入阶层的“住房难”问题，有利于落实“以人为本”和“执政为民”的执政理念，将带来良好的社会效益。项目实施后将会增加新的就业机会，有力的加快当地工业、服务业、零售业、餐饮业、房地产业的发展，由此会增加新的就业机会和就业人，社会效益明显。</w:t>
      </w:r>
    </w:p>
    <w:p w:rsidR="00DA3D11" w:rsidRDefault="00CB7C2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七、附表</w:t>
      </w:r>
    </w:p>
    <w:p w:rsidR="00DA3D11" w:rsidRDefault="00CB7C2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《项目支出绩效目标自评表》</w:t>
      </w:r>
    </w:p>
    <w:p w:rsidR="00DA3D11" w:rsidRDefault="00DA3D11">
      <w:pPr>
        <w:adjustRightInd w:val="0"/>
        <w:snapToGrid w:val="0"/>
        <w:spacing w:line="560" w:lineRule="exact"/>
        <w:ind w:firstLineChars="200" w:firstLine="627"/>
        <w:rPr>
          <w:rStyle w:val="af0"/>
          <w:rFonts w:ascii="仿宋" w:eastAsia="仿宋" w:hAnsi="仿宋"/>
          <w:spacing w:val="-4"/>
          <w:sz w:val="32"/>
          <w:szCs w:val="32"/>
        </w:rPr>
      </w:pPr>
    </w:p>
    <w:sectPr w:rsidR="00DA3D11">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90C" w:rsidRDefault="00CB7C27">
      <w:r>
        <w:separator/>
      </w:r>
    </w:p>
  </w:endnote>
  <w:endnote w:type="continuationSeparator" w:id="0">
    <w:p w:rsidR="008F390C" w:rsidRDefault="00CB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D11" w:rsidRDefault="00DA3D11">
    <w:pPr>
      <w:pStyle w:val="a7"/>
      <w:jc w:val="center"/>
    </w:pPr>
  </w:p>
  <w:p w:rsidR="00DA3D11" w:rsidRDefault="00DA3D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90C" w:rsidRDefault="00CB7C27">
      <w:r>
        <w:separator/>
      </w:r>
    </w:p>
  </w:footnote>
  <w:footnote w:type="continuationSeparator" w:id="0">
    <w:p w:rsidR="008F390C" w:rsidRDefault="00CB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D11" w:rsidRDefault="00DA3D11">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74BC0"/>
    <w:rsid w:val="0050167F"/>
    <w:rsid w:val="00514506"/>
    <w:rsid w:val="005162F1"/>
    <w:rsid w:val="00516E80"/>
    <w:rsid w:val="00535153"/>
    <w:rsid w:val="00575CFE"/>
    <w:rsid w:val="00583AFC"/>
    <w:rsid w:val="00592D09"/>
    <w:rsid w:val="00675D58"/>
    <w:rsid w:val="00677E8C"/>
    <w:rsid w:val="006F2E6D"/>
    <w:rsid w:val="007218B8"/>
    <w:rsid w:val="00755C6A"/>
    <w:rsid w:val="00785FDE"/>
    <w:rsid w:val="007A0351"/>
    <w:rsid w:val="007A14BC"/>
    <w:rsid w:val="007C1025"/>
    <w:rsid w:val="007E6845"/>
    <w:rsid w:val="007F5F8A"/>
    <w:rsid w:val="00826CA1"/>
    <w:rsid w:val="00835B7F"/>
    <w:rsid w:val="00855E3A"/>
    <w:rsid w:val="008F390C"/>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B7C27"/>
    <w:rsid w:val="00CC6E4D"/>
    <w:rsid w:val="00D17F2E"/>
    <w:rsid w:val="00D46194"/>
    <w:rsid w:val="00DA3D11"/>
    <w:rsid w:val="00E01293"/>
    <w:rsid w:val="00E027D1"/>
    <w:rsid w:val="00E769FE"/>
    <w:rsid w:val="00E82A2D"/>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D0D52CB"/>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Times New Roman"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0">
    <w:name w:val="Strong"/>
    <w:basedOn w:val="a0"/>
    <w:qFormat/>
    <w:rPr>
      <w:b/>
      <w:bCs/>
    </w:rPr>
  </w:style>
  <w:style w:type="character" w:styleId="af1">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styleId="af2">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3">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4">
    <w:name w:val="Quote"/>
    <w:basedOn w:val="a"/>
    <w:next w:val="a"/>
    <w:link w:val="af5"/>
    <w:uiPriority w:val="29"/>
    <w:qFormat/>
    <w:pPr>
      <w:widowControl/>
      <w:jc w:val="left"/>
    </w:pPr>
    <w:rPr>
      <w:rFonts w:asciiTheme="minorHAnsi" w:eastAsiaTheme="minorEastAsia" w:hAnsiTheme="minorHAnsi"/>
      <w:i/>
      <w:kern w:val="0"/>
      <w:sz w:val="24"/>
    </w:rPr>
  </w:style>
  <w:style w:type="character" w:customStyle="1" w:styleId="af5">
    <w:name w:val="引用 字符"/>
    <w:basedOn w:val="a0"/>
    <w:link w:val="af4"/>
    <w:uiPriority w:val="29"/>
    <w:qFormat/>
    <w:rPr>
      <w:i/>
      <w:sz w:val="24"/>
      <w:szCs w:val="24"/>
    </w:rPr>
  </w:style>
  <w:style w:type="paragraph" w:styleId="af6">
    <w:name w:val="Intense Quote"/>
    <w:basedOn w:val="a"/>
    <w:next w:val="a"/>
    <w:link w:val="af7"/>
    <w:uiPriority w:val="30"/>
    <w:qFormat/>
    <w:pPr>
      <w:widowControl/>
      <w:ind w:left="720" w:right="720"/>
      <w:jc w:val="left"/>
    </w:pPr>
    <w:rPr>
      <w:rFonts w:asciiTheme="minorHAnsi" w:eastAsiaTheme="minorEastAsia" w:hAnsiTheme="minorHAnsi"/>
      <w:b/>
      <w:i/>
      <w:kern w:val="0"/>
      <w:sz w:val="24"/>
      <w:szCs w:val="22"/>
    </w:rPr>
  </w:style>
  <w:style w:type="character" w:customStyle="1" w:styleId="af7">
    <w:name w:val="明显引用 字符"/>
    <w:basedOn w:val="a0"/>
    <w:link w:val="af6"/>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rPr>
      <w:rFonts w:ascii="Calibri" w:eastAsia="宋体" w:hAnsi="Calibri"/>
      <w:kern w:val="2"/>
      <w:sz w:val="18"/>
      <w:szCs w:val="18"/>
    </w:rPr>
  </w:style>
  <w:style w:type="character" w:customStyle="1" w:styleId="a4">
    <w:name w:val="文档结构图 字符"/>
    <w:basedOn w:val="a0"/>
    <w:link w:val="a3"/>
    <w:uiPriority w:val="99"/>
    <w:semiHidden/>
    <w:rPr>
      <w:rFonts w:ascii="宋体" w:eastAsia="宋体" w:hAnsi="Times New Roman"/>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paragraph" w:customStyle="1" w:styleId="Af8">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D51F6-5380-4A33-B086-AFF8646F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10</cp:revision>
  <cp:lastPrinted>2018-12-17T10:15:00Z</cp:lastPrinted>
  <dcterms:created xsi:type="dcterms:W3CDTF">2018-12-17T10:14:00Z</dcterms:created>
  <dcterms:modified xsi:type="dcterms:W3CDTF">2021-05-29T11:04:00Z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