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新疆喀什经济开发区党政办公室2019年度部门决算公开说明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党政办主要职能为负责公文、会议纪要等综合性材料的起草印发及办理、催办、督办；承担政务信息、安全、保密、督查、信访、新闻宣传；对外协调联络职能。</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新疆喀什经济开发区党政办公室2019年度，实有人数13人，其中：在职人员13人，离休人员0人，退休人员0人。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从部门决算单位构成看，新疆喀什经济开发区党政办公室部门决算包括：新疆喀什经济开发区党政办公室决算。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1,096.17万元，与上年相比，减少2,408.54万元，下降68.72%，主要原因是：2018年度办公室自动化系统采购项目、购置人才公寓项目2019年未安排同类项目。本年支出953.83万元，与上年相比，减少2,526.83万元，下降72.6%，主要原因是：2018年度办公室自动化系统采购项目、购置人才公寓项目2019年未安排同类项目。</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2019年度本年收入1,096.17万元，其中：财政拨款收入890.14万元，占81.2%；上级补助收入0万元，占0%；事业收入0万元，占0%；经营收入0万元，占0%；附属单位上缴收入0万元，占0%；其他收入206.03万元，占18.8%。</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2019年度本年支出953.83万元，其中：基本支出437.78万元，占45.9%；项目支出516.05万元，占54.1%；上缴上级支出0万元，占0%；经营支出0万元，占0%；对附属单位补助支出0万元，占0%。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890.14万元，与上年相比，减少2,594.21万元，下降74.45%，主要原因是：2018年度办公室自动化系统采购项目、购置人才公寓项目2019年已取消，部分临聘人员解聘导致工资性支出同比下降。财政拨款支出893.83万元，与上年相比，减少2,586.83万元，下降74.32%，主要原因是：2018年度办公室自动化系统采购项目、购置人才公寓项目2019年未安排同类项目，同时，部分临聘解聘导致财政拨款收入同比下降。</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1,058.60万元，决算数890.14万元，预决算差异率-15.91%，主要原因是：一是进一步压缩一般支出，公用经费实际使用预算的64%；二是部门项目例如形象宣传片拍摄制作项目、机关搬迁费用、网站建设项目等年底预算执行进度均未达到100%，分别完成预算的49.55%、6%和0%。财政拨款支出年初预算数1,058.60万元，决算数893.83万元，预决算差异率-15.56%，主要原因是：一是进一步压缩一般支出，公用经费实际使用预算的64%；二是部门项目例如形象宣传片拍摄制作项目、机关搬迁费用、网站建设项目等年底预算执行进度均未达到100%，分别完成预算的49.55%、6%和0%。</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2019年度一般公共预算财政拨款支出893.83万元。按功能分类科目项级科目公开，其中：</w:t>
      </w:r>
    </w:p>
    <w:p>
      <w:pPr>
        <w:ind w:firstLine="480"/>
        <w:jc w:val="both"/>
      </w:pPr>
      <w:r>
        <w:rPr>
          <w:rFonts w:ascii="仿宋_GB2312" w:hAnsi="仿宋_GB2312" w:cs="仿宋_GB2312" w:eastAsia="仿宋_GB2312"/>
          <w:b w:val="false"/>
          <w:sz w:val="32"/>
        </w:rPr>
        <w:t xml:space="preserve">   2010301行政运行支出392.79万元；</w:t>
      </w:r>
    </w:p>
    <w:p>
      <w:pPr>
        <w:ind w:firstLine="480"/>
        <w:jc w:val="both"/>
      </w:pPr>
      <w:r>
        <w:rPr>
          <w:rFonts w:ascii="仿宋_GB2312" w:hAnsi="仿宋_GB2312" w:cs="仿宋_GB2312" w:eastAsia="仿宋_GB2312"/>
          <w:b w:val="false"/>
          <w:sz w:val="32"/>
        </w:rPr>
        <w:t xml:space="preserve">   2010399其他政府办公厅（室）及相关机构事务支出347.91万元；</w:t>
      </w:r>
    </w:p>
    <w:p>
      <w:pPr>
        <w:ind w:firstLine="480"/>
        <w:jc w:val="both"/>
      </w:pPr>
      <w:r>
        <w:rPr>
          <w:rFonts w:ascii="仿宋_GB2312" w:hAnsi="仿宋_GB2312" w:cs="仿宋_GB2312" w:eastAsia="仿宋_GB2312"/>
          <w:b w:val="false"/>
          <w:sz w:val="32"/>
        </w:rPr>
        <w:t xml:space="preserve">   2011099其他人力资源事务支出5.96万元；</w:t>
      </w:r>
    </w:p>
    <w:p>
      <w:pPr>
        <w:ind w:firstLine="480"/>
        <w:jc w:val="both"/>
      </w:pPr>
      <w:r>
        <w:rPr>
          <w:rFonts w:ascii="仿宋_GB2312" w:hAnsi="仿宋_GB2312" w:cs="仿宋_GB2312" w:eastAsia="仿宋_GB2312"/>
          <w:b w:val="false"/>
          <w:sz w:val="32"/>
        </w:rPr>
        <w:t xml:space="preserve">   2080505机关事业单位基本养老保险缴费支出25.86万元；</w:t>
      </w:r>
    </w:p>
    <w:p>
      <w:pPr>
        <w:ind w:firstLine="480"/>
        <w:jc w:val="both"/>
      </w:pPr>
      <w:r>
        <w:rPr>
          <w:rFonts w:ascii="仿宋_GB2312" w:hAnsi="仿宋_GB2312" w:cs="仿宋_GB2312" w:eastAsia="仿宋_GB2312"/>
          <w:b w:val="false"/>
          <w:sz w:val="32"/>
        </w:rPr>
        <w:t xml:space="preserve">   2129901其他城乡社区支出102.18万元；</w:t>
      </w:r>
    </w:p>
    <w:p>
      <w:pPr>
        <w:ind w:firstLine="480"/>
        <w:jc w:val="both"/>
      </w:pPr>
      <w:r>
        <w:rPr>
          <w:rFonts w:ascii="仿宋_GB2312" w:hAnsi="仿宋_GB2312" w:cs="仿宋_GB2312" w:eastAsia="仿宋_GB2312"/>
          <w:b w:val="false"/>
          <w:sz w:val="32"/>
        </w:rPr>
        <w:t xml:space="preserve">   2210201住房公积金支出19.13万元。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2019年度一般公共预算财政拨款基本支出437.78万元，其中：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人员经费265.55万元，包括：基本工资、津贴补贴、奖金、绩效工资、机关事业单位基本养老保险缴费、职工基本医疗保险缴费、公务员医疗补助缴费、其他社会保障缴费、住房公积金、其他工资福利支出。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172.23万元，包括：办公费、印刷费、手续费、水费、电费、邮电费、取暖费、物业管理费、差旅费、维修（护）费、会议费、培训费、公务接待费、工会经费、公务用车运行维护费、其他交通费用、其他商品和服务支出。</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27.11万元，比上年增加13.64万元，增长101.26%，主要原因是2019年6月开始管委会的公务用车均交党政办统一管理。其中，因公出国（境）费支出0万元，占0%，比上年增加0万元，增长0%，主要原因是无此项开支；公务用车购置及运行维护费支出26.72万元，占98.56%，比上年增加14.71万元，增长122.48%，主要原因是2019年开始管委会的公务用车由党政办统一交管。；公务接待费支出0.39万元，占1.44%，比上年减少1.07万元，降低73.29%，主要原因是2019年接待来访人员减少，公务接待下降。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26.72万元，其中，公务用车购置费0万元，公务用车运行维护费26.72万元。公务用车运行维护费开支内容包括车辆维修费，保养费，停车费，过路费，审验费等。公务用车购置数0辆，公务用车保有量7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公务接待费0.39万元，开支内容包括食堂接待因公来访开发区考察、调研、座谈等人。单位全年安排的国内公务接待2批次，15人次。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47.48万元，决算数27.11万元，预决算差异率-42.9%，主要原因是：无因公出国支出，公务接待严格按照工作餐标准，严格管理公务用车。其中：因公出国（境）费预算数0万元，决算数0万元，预决算差异率0%，主要原因是：无此项开支；公务用车购置费预算数0万元，决算数0万元，预决算差异率0%，主要原因是：无此项开支；公务用车运行费预算数42.90万元，决算数26.72万元，预决算差异率-37.72%，主要原因是：严管公务用车；公务接待费预算数4.58万元，决算数0.39万元，预决算差异率-91.48%，主要原因是：一是接待来访人员变少，二是按工作餐标准接待。</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2019年度新疆喀什经济开发区党政办公室机关运行经费支出172.23万元，比上年增加30.38万元，增长21.42%，主要原因是由于2019年办公场所调整造成运行经费较上年增加。</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7辆，价值13.30万元，其中：副部（省）级及以上领导用车0辆、主要领导干部用车0辆、机要通信用车0辆、应急保障用车0辆、执法执勤用车0辆、特种专业技术用车0辆、离退休干部用车0辆、其他用车7辆，其他用车主要是：日常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18个，共涉及资金667.35万元。预算绩效管理取得的成效：截止2019年底，我单位保质保量的完成了大部分项目的建设，通过相关项目的实施，有效提升了喀什经济开发区的知名度，提高人员工作效率、质量和积极性，为推动喀什地区经济发展做出了贡献。发现的问题及原因：1.存在部分项目未实施的情况，例如：喀什经济开发区服务器安全项目，喀什经济开发区保密设备购置项目，主要是因为这些项目前期工作复杂，准备事项较多或因临时变动打乱计划从而导致项目无法实施；2.其次项目存在手续不完善，资料不齐全的情况。下一步改进措施：1. 建议抓紧时间制定需求方案，从变动点入手，重新规划项目，尽快实施项目；2. 建议在项目前期完善相关制度，保管好项目相关资料，以备在项目后期为绩效评价报告提供基础信息。具体项目自评情况附项目支出绩效自评表。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8GO0Tuoj/BQKtM7kZzxZDg==" w:hash="mFMYuvHsDkQgA83ns1eG9FnzpyA="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