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新疆喀什经济开发区财政局2019年度部门决算公开说明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财政局负责财政收支管理，预决算编制，政府采购、国有资产监管、财政资金绩效管理、债务、财政监督及税收管理协调工作；研究拟定金融贸易区建设规划、政策和措施。</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新疆喀什经济开发区财政局2019年度，实有人数12人，其中：在职人员12人，离休人员0人，退休人员0人。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从部门决算单位构成看，新疆喀什经济开发区财政局部门决算包括：新疆喀什经济开发区财政局决算。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617.19万元，与上年相比，减少2,442.84万元，下降79.83%，主要原因是：2018年产业园就业稳工车辆租赁费、国际国内航空专项补贴、纺织服装产业新增就业专项资金等项目2019年未在财政局安排，因此2019年财政补助收入减少。本年支出619.79万元，与上年相比，减少70.63万元，下降10.23%，主要原因是：2018年产业园就业稳工车辆租赁费、纺织服装产业新增就业专项资金等项目2019年未在财政局安排支出，因此2019年支出减少。</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2019年度本年收入617.19万元，其中：财政拨款收入605.19万元，占98.06%；上级补助收入0万元，占0%；事业收入0万元，占0%；经营收入0万元，占0%；附属单位上缴收入0万元，占0%；其他收入12万元，占1.94%。</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2019年度本年支出619.79万元，其中：基本支出192.31万元，占31.03%；项目支出427.48万元，占68.97%；上缴上级支出0万元，占0%；经营支出0万元，占0%；对附属单位补助支出0万元，占0%。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605.19万元，与上年相比，减少2,385.15万元，下降79.76%，主要原因是：2018年产业园就业稳工车辆租赁费、国际国内航空专项补贴、纺织服装产业新增就业专项资金等项目2019年未在财政局安排，因此2019年财政补助收入减少。财政拨款支出606.09万元，与上年相比，减少82.92万元，下降12.03%，主要原因是：2018年产业园就业稳工车辆租赁费、纺织服装产业新增就业专项资金等项目2019年未在财政局安排支出，因此2019年支出减少。</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749.66万元，决算数605.19万元，预决算差异率-19.27%，主要原因是：部门项目因实施进度原因，预算资金未全额安排支出。财政拨款支出年初预算数871.16万元，决算数606.09万元，预决算差异率-30.43%，主要原因是：部门项目因实施进度原因，预算资金未全额安排支出。</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2019年度一般公共预算财政拨款支出606.09万元。按功能分类科目项级科目公开，其中：</w:t>
      </w:r>
    </w:p>
    <w:p>
      <w:pPr>
        <w:ind w:firstLine="480"/>
        <w:jc w:val="both"/>
      </w:pPr>
      <w:r>
        <w:rPr>
          <w:rFonts w:ascii="仿宋_GB2312" w:hAnsi="仿宋_GB2312" w:cs="仿宋_GB2312" w:eastAsia="仿宋_GB2312"/>
          <w:b w:val="false"/>
          <w:sz w:val="32"/>
        </w:rPr>
        <w:t xml:space="preserve">   2010601行政运行支出163.33万元；</w:t>
      </w:r>
    </w:p>
    <w:p>
      <w:pPr>
        <w:ind w:firstLine="480"/>
        <w:jc w:val="both"/>
      </w:pPr>
      <w:r>
        <w:rPr>
          <w:rFonts w:ascii="仿宋_GB2312" w:hAnsi="仿宋_GB2312" w:cs="仿宋_GB2312" w:eastAsia="仿宋_GB2312"/>
          <w:b w:val="false"/>
          <w:sz w:val="32"/>
        </w:rPr>
        <w:t xml:space="preserve">   2010608财政委托业务支出265.43万元；</w:t>
      </w:r>
    </w:p>
    <w:p>
      <w:pPr>
        <w:ind w:firstLine="480"/>
        <w:jc w:val="both"/>
      </w:pPr>
      <w:r>
        <w:rPr>
          <w:rFonts w:ascii="仿宋_GB2312" w:hAnsi="仿宋_GB2312" w:cs="仿宋_GB2312" w:eastAsia="仿宋_GB2312"/>
          <w:b w:val="false"/>
          <w:sz w:val="32"/>
        </w:rPr>
        <w:t xml:space="preserve">   2010699其他财政事务支出147.62万元；</w:t>
      </w:r>
    </w:p>
    <w:p>
      <w:pPr>
        <w:ind w:firstLine="480"/>
        <w:jc w:val="both"/>
      </w:pPr>
      <w:r>
        <w:rPr>
          <w:rFonts w:ascii="仿宋_GB2312" w:hAnsi="仿宋_GB2312" w:cs="仿宋_GB2312" w:eastAsia="仿宋_GB2312"/>
          <w:b w:val="false"/>
          <w:sz w:val="32"/>
        </w:rPr>
        <w:t xml:space="preserve">   2080505机关事业单位基本养老保险缴费支出16.42万元；</w:t>
      </w:r>
    </w:p>
    <w:p>
      <w:pPr>
        <w:ind w:firstLine="480"/>
        <w:jc w:val="both"/>
      </w:pPr>
      <w:r>
        <w:rPr>
          <w:rFonts w:ascii="仿宋_GB2312" w:hAnsi="仿宋_GB2312" w:cs="仿宋_GB2312" w:eastAsia="仿宋_GB2312"/>
          <w:b w:val="false"/>
          <w:sz w:val="32"/>
        </w:rPr>
        <w:t xml:space="preserve">   2210201住房公积金支出12.56万元；</w:t>
      </w:r>
    </w:p>
    <w:p>
      <w:pPr>
        <w:ind w:firstLine="480"/>
        <w:jc w:val="both"/>
      </w:pPr>
      <w:r>
        <w:rPr>
          <w:rFonts w:ascii="仿宋_GB2312" w:hAnsi="仿宋_GB2312" w:cs="仿宋_GB2312" w:eastAsia="仿宋_GB2312"/>
          <w:b w:val="false"/>
          <w:sz w:val="32"/>
        </w:rPr>
        <w:t xml:space="preserve">   2299901其他支出0.72万元。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2019年度一般公共预算财政拨款基本支出192.31万元，其中：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人员经费177.29万元，包括：基本工资、津贴补贴、奖金、绩效工资、机关事业单位基本养老保险缴费、职工基本医疗保险缴费、公务员医疗补助缴费、其他社会保障缴费、住房公积金、其他工资福利支出。</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公用经费15.02万元，包括：办公费、公务接待费、公务用车运行维护费。</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2.45万元，比上年减少2.25万元，降低47.87%，主要原因是下半年公务用车交由党政办统一管理，同时严控公务接待支出，三公经费支出减少。其中，因公出国（境）费支出0万元，占0%，比上年增加0万元，增长0%，主要原因是无因公出国（境）费支出；公务用车购置及运行维护费支出2.25万元，占91.84%，比上年减少1.61万元，降低41.71%，主要原因是下半年公务用车交由党政办统一管理，公务运行维护费用减少；公务接待费支出0.20万元，占8.16%，比上年减少0.65万元，降低76.47%，主要原因是接待来访人员减少，公务接待支出下降。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因公出国（境）费支出0万元，开支内容包括：无此项开支。单位全年安排的因公出国（境）团组0个，因公出国（境）0人次。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2.25万元，其中，公务用车购置费0万元，公务用车运行维护费2.25万元。公务用车运行维护费开支内容包括车辆维修费，保养费，停车费，过路费，审验费等。公务用车购置数0辆，公务用车保有量0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公务接待费0.20万元，开支内容包括接待来访人员。单位全年安排的国内公务接待3批次，30人次。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3.03万元，决算数2.45万元，预决算差异率-19.14%，主要原因是：接待来访人员减少，同时车辆交由党政办统一管理。其中：因公出国（境）费预算数0万元，决算数0万元，预决算差异率0%，主要原因是：无此项开支；公务用车购置费预算数0万元，决算数0万元，预决算差异率0%，主要原因是：无此项开支；公务用车运行费预算数2.25万元，决算数2.25万元，预决算差异率0%，主要原因是：预算安排资金严格按照预算全部支出；公务接待费预算数0.78万元，决算数0.20万元，预决算差异率-74.36%，主要原因是：接待来访人员减少，并按工作餐标准接待。</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我单位本年度无政府性基金预算财政拨款收入支出，政府性基金预算财政拨款收入支出决算表为空表。</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2019年度新疆喀什经济开发区财政局机关运行经费支出15.02万元，比上年增加1.53万元，增长11.34%，主要原因是2019年办公场所调整，发生办公室搬迁、新办公室布线等费用增加。</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2019年度政府采购支出总额0万元，其中：政府采购货物支出0万元、政府采购工程支出0万元、政府采购服务支出0万元。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授予中小企业合同金额0万元，占政府采购支出总额的0%，其中：授予小微企业合同金额0万元，占政府采购支出总额的0%。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日常公务用车；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8个，共涉及资金889.3万元。预算绩效管理取得的成效：1.配合地区财政局完成上级领导安排的事项；购置办公设备和其他基础设备，营造一个良好的办公环境；购买第三方服务费用；建设财政业务支撑平台，以提升财政局业务信息化水平，实现财政管理的科学化精细化，提高资金收支的时效性和安全性；支付日常工作人员的工资，商品服务费用等相关项目的建设。2.截止2019年年底，保质保量的完成了大部分项目的建设，为下年的工作打好坚实的基础。发现的问题及原因：1.存在部分项目指标未完成的情况，主要是因为购买第三方服务，没能按时保质保量完成工作，资金拨付推迟，故导致指标未完成；2.其次存在项目相关资料不齐全的情况。下一步改进措施：建议在项目前期完善相关制度，保管好项目相关资料，以备在项目后期为绩效评价报告提供基础信息。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HD/ESIH2fMt/AbKj2LHJHw==" w:hash="/8dbNFBUGcIgHxLoW6OzdVAHRA0="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