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方正小标宋_GBK" w:eastAsia="方正小标宋_GBK" w:cs="方正小标宋_GBK"/>
          <w:sz w:val="44"/>
        </w:rPr>
        <w:t>新疆喀什经济开发区规划土地建设环保局2019年度部门决算公开说明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24028"/>
      <w:bookmarkStart w:id="1" w:name="_Toc32314"/>
      <w:r>
        <w:rPr>
          <w:rFonts w:hint="eastAsia" w:ascii="黑体" w:hAnsi="黑体" w:eastAsia="黑体"/>
          <w:sz w:val="32"/>
          <w:szCs w:val="32"/>
        </w:rPr>
        <w:t>第一部分 部门单位概况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480"/>
        <w:jc w:val="both"/>
      </w:pPr>
      <w:r>
        <w:rPr>
          <w:rFonts w:ascii="仿宋_GB2312" w:hAnsi="仿宋_GB2312" w:eastAsia="仿宋_GB2312" w:cs="仿宋_GB2312"/>
          <w:b w:val="0"/>
          <w:sz w:val="32"/>
        </w:rPr>
        <w:t>组织编制并实施开发区总体规划及各层次规划；拟订建设工作计划；负责组织编制并实施开发区土地利用总体规划和土地利用管理相关规定；开发区保障性和政策性住房等建设工程管理；代表管委会行使业主职能和项目管理职能，政府投资及非盈利性工程项目建设过程的管理和施工组织。</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pPr>
      <w:r>
        <w:rPr>
          <w:rFonts w:ascii="仿宋_GB2312" w:hAnsi="仿宋_GB2312" w:eastAsia="仿宋_GB2312" w:cs="仿宋_GB2312"/>
          <w:sz w:val="32"/>
        </w:rPr>
        <w:t>新疆喀什经济开发区规划土地建设环保局2019年度，实有人数7人，其中：在职人员7人，离休人员0人，退休人员0人。</w:t>
      </w:r>
    </w:p>
    <w:p>
      <w:pPr>
        <w:ind w:firstLine="640" w:firstLineChars="200"/>
        <w:rPr>
          <w:rFonts w:ascii="仿宋_GB2312" w:eastAsia="仿宋_GB2312"/>
          <w:sz w:val="32"/>
          <w:szCs w:val="32"/>
        </w:rPr>
      </w:pPr>
      <w:r>
        <w:rPr>
          <w:rFonts w:ascii="仿宋_GB2312" w:hAnsi="仿宋_GB2312" w:eastAsia="仿宋_GB2312" w:cs="仿宋_GB2312"/>
          <w:sz w:val="32"/>
        </w:rPr>
        <w:t>从部门决算单位构成看，新疆喀什经济开发区规划土地建设环保局部门决算包括：新疆喀什经济开发区规划土地建设环保局决算。</w:t>
      </w:r>
    </w:p>
    <w:p>
      <w:pPr>
        <w:ind w:firstLine="640" w:firstLineChars="200"/>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ascii="仿宋_GB2312" w:hAnsi="仿宋_GB2312" w:eastAsia="仿宋_GB2312" w:cs="仿宋_GB2312"/>
          <w:sz w:val="32"/>
        </w:rPr>
        <w:t>2019年度本年收入96,282.86万元，与上年相比，减少8,261.74万元，下降7.9%，主要原因是：本年部分建设类项目调整至投资建设服务中心。本年支出104,719.68万元，与上年相比，增加47,273.26万元，增长82.29%，主要原因是：为盘活财政资金，根据相关规定将11个项目存量资金1.9亿元上交国库，同时本年新增项目拆迁补偿项目资金3.5亿元。</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hAnsi="仿宋_GB2312" w:eastAsia="仿宋_GB2312" w:cs="仿宋_GB2312"/>
          <w:sz w:val="32"/>
        </w:rPr>
        <w:t>2019年度本年收入96,282.86万元，其中：财政拨款收入92,307.77万元，占95.87%；上级补助收入0万元，占0%；事业收入0万元，占0%；经营收入0万元，占0%；附属单位上缴收入0万元，占0%；其他收入3,975.08万元，占4.13%。</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hAnsi="仿宋_GB2312" w:eastAsia="仿宋_GB2312" w:cs="仿宋_GB2312"/>
          <w:sz w:val="32"/>
        </w:rPr>
        <w:t>2019年度本年支出104,719.68万元，其中：基本支出142.65万元，占0.14%；项目支出104,577.03万元，占99.86%；上缴上级支出0万元，占0%；经营支出0万元，占0%；对附属单位补助支出0万元，占0%。</w:t>
      </w:r>
    </w:p>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hAnsi="仿宋_GB2312" w:eastAsia="仿宋_GB2312" w:cs="仿宋_GB2312"/>
          <w:sz w:val="32"/>
        </w:rPr>
        <w:t>2019年度财政拨款收入92,307.77万元，与上年相比，减少11,137.87万元，下降10.77%，主要原因是：本年部分建设类项目调整至投资建设服务中心。财政拨款支出100,890.36万元，与上年相比，增加44,485.56万元，增长78.87%，主要原因是：为盘活财政资金，根据相关规定将11个项目存量资金1.9亿元上交国库，同时本年新增项目拆迁补偿项目资金3.5亿元。</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财政拨款收入年初预算数99,042.67万元，决算数92,307.77万元，预决算差异率-6.8%，主要原因是：小部分项目调整至投资建设中心。财政拨款支出年初预算数131,265.71万元，决算数100,890.36万元，预决算差异率-23.14%，主要原因是：为盘活财政资金，根据相关规定将11个项目存量资金1.9亿元上交国库，同时本年新增项目拆迁补偿项目资金3.5亿元。</w:t>
      </w:r>
    </w:p>
    <w:p>
      <w:pPr>
        <w:ind w:firstLine="640" w:firstLineChars="200"/>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2019年度一般公共预算财政拨款支出90,788.53万元。按功能分类科目项级科目公开，其中：</w:t>
      </w:r>
    </w:p>
    <w:p>
      <w:pPr>
        <w:ind w:firstLine="480"/>
        <w:jc w:val="both"/>
      </w:pPr>
      <w:r>
        <w:rPr>
          <w:rFonts w:ascii="仿宋_GB2312" w:hAnsi="仿宋_GB2312" w:eastAsia="仿宋_GB2312" w:cs="仿宋_GB2312"/>
          <w:b w:val="0"/>
          <w:sz w:val="32"/>
        </w:rPr>
        <w:t xml:space="preserve">   2050201学前教育支出254.92万元；</w:t>
      </w:r>
    </w:p>
    <w:p>
      <w:pPr>
        <w:ind w:firstLine="480"/>
        <w:jc w:val="both"/>
      </w:pPr>
      <w:r>
        <w:rPr>
          <w:rFonts w:ascii="仿宋_GB2312" w:hAnsi="仿宋_GB2312" w:eastAsia="仿宋_GB2312" w:cs="仿宋_GB2312"/>
          <w:b w:val="0"/>
          <w:sz w:val="32"/>
        </w:rPr>
        <w:t xml:space="preserve">   2050202小学教育支出418.91万元；</w:t>
      </w:r>
    </w:p>
    <w:p>
      <w:pPr>
        <w:ind w:firstLine="480"/>
        <w:jc w:val="both"/>
      </w:pPr>
      <w:r>
        <w:rPr>
          <w:rFonts w:ascii="仿宋_GB2312" w:hAnsi="仿宋_GB2312" w:eastAsia="仿宋_GB2312" w:cs="仿宋_GB2312"/>
          <w:b w:val="0"/>
          <w:sz w:val="32"/>
        </w:rPr>
        <w:t xml:space="preserve">   2080505机关事业单位基本养老保险缴费支出12.27万元；</w:t>
      </w:r>
    </w:p>
    <w:p>
      <w:pPr>
        <w:ind w:firstLine="480"/>
        <w:jc w:val="both"/>
      </w:pPr>
      <w:r>
        <w:rPr>
          <w:rFonts w:ascii="仿宋_GB2312" w:hAnsi="仿宋_GB2312" w:eastAsia="仿宋_GB2312" w:cs="仿宋_GB2312"/>
          <w:b w:val="0"/>
          <w:sz w:val="32"/>
        </w:rPr>
        <w:t xml:space="preserve">   2100299其他公立医院支出522.23万元；</w:t>
      </w:r>
    </w:p>
    <w:p>
      <w:pPr>
        <w:ind w:firstLine="480"/>
        <w:jc w:val="both"/>
      </w:pPr>
      <w:r>
        <w:rPr>
          <w:rFonts w:ascii="仿宋_GB2312" w:hAnsi="仿宋_GB2312" w:eastAsia="仿宋_GB2312" w:cs="仿宋_GB2312"/>
          <w:b w:val="0"/>
          <w:sz w:val="32"/>
        </w:rPr>
        <w:t xml:space="preserve">   2111101生态环境监测与信息支出20.37万元；</w:t>
      </w:r>
    </w:p>
    <w:p>
      <w:pPr>
        <w:ind w:firstLine="480"/>
        <w:jc w:val="both"/>
      </w:pPr>
      <w:r>
        <w:rPr>
          <w:rFonts w:ascii="仿宋_GB2312" w:hAnsi="仿宋_GB2312" w:eastAsia="仿宋_GB2312" w:cs="仿宋_GB2312"/>
          <w:b w:val="0"/>
          <w:sz w:val="32"/>
        </w:rPr>
        <w:t xml:space="preserve">   2120101行政运行支出120.96万元；</w:t>
      </w:r>
    </w:p>
    <w:p>
      <w:pPr>
        <w:ind w:firstLine="480"/>
        <w:jc w:val="both"/>
      </w:pPr>
      <w:r>
        <w:rPr>
          <w:rFonts w:ascii="仿宋_GB2312" w:hAnsi="仿宋_GB2312" w:eastAsia="仿宋_GB2312" w:cs="仿宋_GB2312"/>
          <w:b w:val="0"/>
          <w:sz w:val="32"/>
        </w:rPr>
        <w:t xml:space="preserve">   2120199其他城乡社区管理事务支出10.27万元；</w:t>
      </w:r>
    </w:p>
    <w:p>
      <w:pPr>
        <w:ind w:firstLine="480"/>
        <w:jc w:val="both"/>
      </w:pPr>
      <w:r>
        <w:rPr>
          <w:rFonts w:ascii="仿宋_GB2312" w:hAnsi="仿宋_GB2312" w:eastAsia="仿宋_GB2312" w:cs="仿宋_GB2312"/>
          <w:b w:val="0"/>
          <w:sz w:val="32"/>
        </w:rPr>
        <w:t xml:space="preserve">   2120399其他城乡社区公共设施支出48,761.46万元；</w:t>
      </w:r>
    </w:p>
    <w:p>
      <w:pPr>
        <w:ind w:firstLine="480"/>
        <w:jc w:val="both"/>
      </w:pPr>
      <w:r>
        <w:rPr>
          <w:rFonts w:ascii="仿宋_GB2312" w:hAnsi="仿宋_GB2312" w:eastAsia="仿宋_GB2312" w:cs="仿宋_GB2312"/>
          <w:b w:val="0"/>
          <w:sz w:val="32"/>
        </w:rPr>
        <w:t xml:space="preserve">   2129901其他城乡社区支出40,657.72万元；</w:t>
      </w:r>
    </w:p>
    <w:p>
      <w:pPr>
        <w:ind w:firstLine="480"/>
        <w:jc w:val="both"/>
      </w:pPr>
      <w:r>
        <w:rPr>
          <w:rFonts w:ascii="仿宋_GB2312" w:hAnsi="仿宋_GB2312" w:eastAsia="仿宋_GB2312" w:cs="仿宋_GB2312"/>
          <w:b w:val="0"/>
          <w:sz w:val="32"/>
        </w:rPr>
        <w:t xml:space="preserve">   2210201住房公积金支出9.42万元。</w:t>
      </w:r>
    </w:p>
    <w:p>
      <w:pPr>
        <w:ind w:firstLine="640" w:firstLineChars="200"/>
        <w:outlineLvl w:val="1"/>
        <w:rPr>
          <w:rFonts w:ascii="黑体" w:hAnsi="黑体" w:eastAsia="黑体" w:cs="宋体"/>
          <w:bCs/>
          <w:kern w:val="0"/>
          <w:sz w:val="32"/>
          <w:szCs w:val="32"/>
        </w:rPr>
      </w:pPr>
      <w:bookmarkStart w:id="18" w:name="_Toc11146"/>
      <w:bookmarkStart w:id="19" w:name="_Toc30870"/>
      <w:r>
        <w:rPr>
          <w:rFonts w:hint="eastAsia" w:ascii="黑体" w:hAnsi="黑体" w:eastAsia="黑体" w:cs="宋体"/>
          <w:bCs/>
          <w:kern w:val="0"/>
          <w:sz w:val="32"/>
          <w:szCs w:val="32"/>
        </w:rPr>
        <w:t>六、一般公共预算财政拨款基本支出决算情况说明</w:t>
      </w:r>
      <w:bookmarkEnd w:id="18"/>
      <w:bookmarkEnd w:id="19"/>
      <w:bookmarkStart w:id="54" w:name="_GoBack"/>
      <w:bookmarkEnd w:id="54"/>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2019年度一般公共预算财政拨款基本支出142.65万元，其中：</w:t>
      </w:r>
    </w:p>
    <w:p>
      <w:pPr>
        <w:ind w:firstLine="640" w:firstLineChars="200"/>
        <w:rPr>
          <w:rFonts w:ascii="仿宋_GB2312" w:eastAsia="仿宋_GB2312"/>
          <w:sz w:val="32"/>
          <w:szCs w:val="32"/>
        </w:rPr>
      </w:pPr>
      <w:r>
        <w:rPr>
          <w:rFonts w:ascii="仿宋_GB2312" w:hAnsi="仿宋_GB2312" w:eastAsia="仿宋_GB2312" w:cs="仿宋_GB2312"/>
          <w:sz w:val="32"/>
        </w:rPr>
        <w:t>人员经费129.67万元，包括：基本工资、津贴补贴、奖金、机关事业单位基本养老保险缴费、职工基本医疗保险缴费、住房公积金、其他工资福利支出。</w:t>
      </w:r>
    </w:p>
    <w:p>
      <w:pPr>
        <w:ind w:firstLine="640" w:firstLineChars="200"/>
        <w:rPr>
          <w:rFonts w:ascii="仿宋_GB2312" w:eastAsia="仿宋_GB2312"/>
          <w:sz w:val="32"/>
          <w:szCs w:val="32"/>
        </w:rPr>
      </w:pPr>
      <w:r>
        <w:rPr>
          <w:rFonts w:ascii="仿宋_GB2312" w:hAnsi="仿宋_GB2312" w:eastAsia="仿宋_GB2312" w:cs="仿宋_GB2312"/>
          <w:sz w:val="32"/>
        </w:rPr>
        <w:t>公用经费12.98万元，包括：办公费、差旅费、公务接待费、公务用车运行维护费、其他商品和服务支出。</w:t>
      </w:r>
    </w:p>
    <w:p>
      <w:pPr>
        <w:ind w:firstLine="640" w:firstLineChars="200"/>
        <w:outlineLvl w:val="1"/>
        <w:rPr>
          <w:rFonts w:ascii="黑体" w:hAnsi="黑体" w:eastAsia="黑体" w:cs="宋体"/>
          <w:bCs/>
          <w:kern w:val="0"/>
          <w:sz w:val="32"/>
          <w:szCs w:val="32"/>
        </w:rPr>
      </w:pPr>
      <w:bookmarkStart w:id="20" w:name="_Toc7190"/>
      <w:bookmarkStart w:id="21" w:name="_Toc21518"/>
      <w:r>
        <w:rPr>
          <w:rFonts w:hint="eastAsia" w:ascii="黑体" w:hAnsi="黑体" w:eastAsia="黑体" w:cs="宋体"/>
          <w:bCs/>
          <w:kern w:val="0"/>
          <w:sz w:val="32"/>
          <w:szCs w:val="32"/>
        </w:rPr>
        <w:t>七、一般公共预算财政拨款“三公”经费支出决算情况说明</w:t>
      </w:r>
      <w:bookmarkEnd w:id="20"/>
      <w:bookmarkEnd w:id="21"/>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三公”经费支出决算1.79万元，比上年减少2.82万元，降低61.17%，主要原因是三公经费严格按制度执行，减少经费支出。下半年公务用车维护费调整到别的部门。其中，因公出国（境）费支出0万元，占0%，比上年增加0万元，增长0%，主要原因是未安排因公出国（境）费支出；公务用车购置及运行维护费支出1.69万元，占94.41%，比上年减少2.85万元，降低62.78%，主要原因是下半年车辆调整至党政办统一管理；公务接待费支出0.10万元，占5.59%，比上年增加0.03万元，增长42.86%，主要原因是因相关业务量增加，因公来访人员增加。具体情况如下：</w:t>
      </w:r>
    </w:p>
    <w:p>
      <w:pPr>
        <w:ind w:firstLine="640" w:firstLineChars="200"/>
        <w:rPr>
          <w:rFonts w:ascii="仿宋_GB2312" w:eastAsia="仿宋_GB2312"/>
          <w:sz w:val="32"/>
          <w:szCs w:val="32"/>
        </w:rPr>
      </w:pPr>
      <w:r>
        <w:rPr>
          <w:rFonts w:ascii="仿宋_GB2312" w:hAnsi="仿宋_GB2312" w:eastAsia="仿宋_GB2312" w:cs="仿宋_GB2312"/>
          <w:sz w:val="32"/>
        </w:rPr>
        <w:t>因公出国（境）费支出0万元，开支内容包括：本年无出国（境）费用支出。单位全年安排的因公出国（境）团组0个，因公出国（境）0人次。</w:t>
      </w:r>
    </w:p>
    <w:p>
      <w:pPr>
        <w:ind w:firstLine="640" w:firstLineChars="200"/>
        <w:rPr>
          <w:rFonts w:ascii="仿宋_GB2312" w:eastAsia="仿宋_GB2312"/>
          <w:sz w:val="32"/>
          <w:szCs w:val="32"/>
        </w:rPr>
      </w:pPr>
      <w:r>
        <w:rPr>
          <w:rFonts w:ascii="仿宋_GB2312" w:hAnsi="仿宋_GB2312" w:eastAsia="仿宋_GB2312" w:cs="仿宋_GB2312"/>
          <w:sz w:val="32"/>
        </w:rPr>
        <w:t>公务用车购置及运行维护费1.69万元，其中，公务用车购置费0万元，公务用车运行维护费1.69万元。公务用车运行维护费开支内容包括油费、维修费、过路费。公务用车购置数0辆，公务用车保有量0辆。</w:t>
      </w:r>
    </w:p>
    <w:p>
      <w:pPr>
        <w:ind w:firstLine="640" w:firstLineChars="200"/>
        <w:rPr>
          <w:rFonts w:ascii="仿宋_GB2312" w:eastAsia="仿宋_GB2312"/>
          <w:sz w:val="32"/>
          <w:szCs w:val="32"/>
        </w:rPr>
      </w:pPr>
      <w:r>
        <w:rPr>
          <w:rFonts w:ascii="仿宋_GB2312" w:hAnsi="仿宋_GB2312" w:eastAsia="仿宋_GB2312" w:cs="仿宋_GB2312"/>
          <w:sz w:val="32"/>
        </w:rPr>
        <w:t>公务接待费0.10万元，开支内容包括国内公务接待费支出0.1万元，接待1批次，10人次。单位全年安排的国内公务接待1批次，10人次。</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一般公共预算“三公”经费支出年初预算数10.51万元，决算数1.79万元，预决算差异率-82.97%，主要原因是：三公经费严格按制度执行，减少经费支出。其中：因公出国（境）费预算数0万元，决算数0万元，预决算差异率0%，主要原因是：未安排因公出国（境）费支出；公务用车购置费预算数0万元，决算数0万元，预决算差异率0%，主要原因是：未发生购买车辆经费；公务用车运行费预算数9.50万元，决算数1.69万元，预决算差异率-82.21%，主要原因是：下半年车辆调整至党政办统一管理；公务接待费预算数1.01万元，决算数0.10万元，预决算差异率-90.1%，主要原因是：接待费用按照工作餐标准予以安排。</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八、政府性基金预算收入支出决算情况说明</w:t>
      </w:r>
      <w:bookmarkEnd w:id="22"/>
      <w:bookmarkEnd w:id="23"/>
    </w:p>
    <w:p>
      <w:pPr>
        <w:ind w:firstLine="640" w:firstLineChars="200"/>
        <w:rPr>
          <w:rFonts w:ascii="仿宋_GB2312" w:eastAsia="仿宋_GB2312"/>
          <w:color w:val="000000" w:themeColor="text1"/>
          <w:sz w:val="32"/>
          <w:szCs w:val="32"/>
          <w14:textFill>
            <w14:solidFill>
              <w14:schemeClr w14:val="tx1"/>
            </w14:solidFill>
          </w14:textFill>
        </w:rPr>
      </w:pPr>
      <w:r>
        <w:rPr>
          <w:rFonts w:ascii="仿宋_GB2312" w:hAnsi="仿宋_GB2312" w:eastAsia="仿宋_GB2312" w:cs="仿宋_GB2312"/>
          <w:sz w:val="32"/>
        </w:rPr>
        <w:t>2019年度政府性基金预算财政拨款收入10,101.83万元，与上年相比，增加9,281.83万元，增长1131.93%，主要原因是：2019年财政从政府性基金收入中安排新增建设用地有偿使用费、土地整理项目支出。政府性基金预算支出10,101.83万元，与上年相比，增加10,101.83万元，增长100%，主要原因是：2019年增加新增建设用地有偿使用费、土地整理项目等。</w:t>
      </w:r>
    </w:p>
    <w:p>
      <w:pPr>
        <w:ind w:firstLine="640" w:firstLineChars="200"/>
        <w:outlineLvl w:val="1"/>
        <w:rPr>
          <w:rFonts w:ascii="黑体" w:hAnsi="黑体" w:eastAsia="黑体" w:cs="宋体"/>
          <w:bCs/>
          <w:kern w:val="0"/>
          <w:sz w:val="32"/>
          <w:szCs w:val="32"/>
        </w:rPr>
      </w:pPr>
      <w:bookmarkStart w:id="24" w:name="_Toc1235"/>
      <w:bookmarkStart w:id="25" w:name="_Toc7314"/>
      <w:r>
        <w:rPr>
          <w:rFonts w:hint="eastAsia" w:ascii="黑体" w:hAnsi="黑体" w:eastAsia="黑体" w:cs="宋体"/>
          <w:bCs/>
          <w:kern w:val="0"/>
          <w:sz w:val="32"/>
          <w:szCs w:val="32"/>
        </w:rPr>
        <w:t>九、其他重要事项的情况说明</w:t>
      </w:r>
      <w:bookmarkEnd w:id="24"/>
      <w:bookmarkEnd w:id="25"/>
    </w:p>
    <w:p>
      <w:pPr>
        <w:ind w:firstLine="640" w:firstLineChars="200"/>
        <w:outlineLvl w:val="2"/>
        <w:rPr>
          <w:rFonts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rPr>
          <w:rFonts w:ascii="仿宋_GB2312" w:eastAsia="仿宋_GB2312"/>
          <w:sz w:val="32"/>
          <w:szCs w:val="32"/>
        </w:rPr>
      </w:pPr>
      <w:r>
        <w:rPr>
          <w:rFonts w:ascii="仿宋_GB2312" w:hAnsi="仿宋_GB2312" w:eastAsia="仿宋_GB2312" w:cs="仿宋_GB2312"/>
          <w:sz w:val="32"/>
        </w:rPr>
        <w:t>2019年度新疆喀什经济开发区规划土地建设环保局机关运行经费支出12.98万元，比上年减少2.71万元，降低17.27%，主要原因是经费严格按制度执行，减少经费支出，同时，车辆运行维护费统一调整至党政办。</w:t>
      </w:r>
    </w:p>
    <w:p>
      <w:pPr>
        <w:ind w:firstLine="640" w:firstLineChars="200"/>
        <w:outlineLvl w:val="2"/>
        <w:rPr>
          <w:rFonts w:ascii="黑体" w:hAnsi="黑体" w:eastAsia="黑体"/>
          <w:sz w:val="32"/>
          <w:szCs w:val="32"/>
        </w:rPr>
      </w:pPr>
      <w:bookmarkStart w:id="28" w:name="_Toc227"/>
      <w:bookmarkStart w:id="29" w:name="_Toc26704"/>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ascii="仿宋_GB2312" w:hAnsi="仿宋_GB2312" w:eastAsia="仿宋_GB2312" w:cs="仿宋_GB2312"/>
          <w:sz w:val="32"/>
        </w:rPr>
        <w:t>2019年度政府采购支出总额0万元，其中：政府采购货物支出0万元、政府采购工程支出0万元、政府采购服务支出0万元。</w:t>
      </w:r>
    </w:p>
    <w:p>
      <w:pPr>
        <w:ind w:firstLine="640" w:firstLineChars="200"/>
        <w:rPr>
          <w:rFonts w:ascii="仿宋_GB2312" w:eastAsia="仿宋_GB2312"/>
          <w:sz w:val="32"/>
          <w:szCs w:val="32"/>
        </w:rPr>
      </w:pPr>
      <w:r>
        <w:rPr>
          <w:rFonts w:ascii="仿宋_GB2312" w:hAnsi="仿宋_GB2312" w:eastAsia="仿宋_GB2312" w:cs="仿宋_GB2312"/>
          <w:sz w:val="32"/>
        </w:rPr>
        <w:t>授予中小企业合同金额0万元，占政府采购支出总额的0%，其中：授予小微企业合同金额0万元，占政府采购支出总额的0%。</w:t>
      </w:r>
    </w:p>
    <w:p>
      <w:pPr>
        <w:ind w:firstLine="640" w:firstLineChars="200"/>
        <w:outlineLvl w:val="2"/>
        <w:rPr>
          <w:rFonts w:ascii="黑体" w:hAnsi="黑体" w:eastAsia="黑体"/>
          <w:sz w:val="32"/>
          <w:szCs w:val="32"/>
        </w:rPr>
      </w:pPr>
      <w:bookmarkStart w:id="30" w:name="_Toc8391"/>
      <w:bookmarkStart w:id="31" w:name="_Toc45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ascii="仿宋_GB2312" w:hAnsi="仿宋_GB2312" w:eastAsia="仿宋_GB2312" w:cs="仿宋_GB2312"/>
          <w:sz w:val="32"/>
        </w:rPr>
        <w:t>截止2019年12月31日，单位共有房屋0（平方米），价值0万元。车辆0辆，价值0万元，其中：副部（省）级及以上领导用车0辆、主要领导干部用车0辆、机要通信用车0辆、应急保障用车0辆、执法执勤用车0辆、特种专业技术用车0辆、离退休干部用车0辆、其他用车0辆，其他用车主要是：无其他用车；单位价值50万元以上通用设备0台（套）、单位价值100万元以上专用设备0台（套）。</w:t>
      </w:r>
    </w:p>
    <w:p>
      <w:pPr>
        <w:ind w:firstLine="640" w:firstLineChars="200"/>
        <w:outlineLvl w:val="1"/>
        <w:rPr>
          <w:rFonts w:ascii="黑体" w:hAnsi="黑体" w:eastAsia="黑体" w:cs="宋体"/>
          <w:bCs/>
          <w:kern w:val="0"/>
          <w:sz w:val="32"/>
          <w:szCs w:val="32"/>
        </w:rPr>
      </w:pPr>
      <w:bookmarkStart w:id="32" w:name="_Toc11283"/>
      <w:bookmarkStart w:id="33" w:name="_Toc435"/>
      <w:r>
        <w:rPr>
          <w:rFonts w:hint="eastAsia" w:ascii="黑体" w:hAnsi="黑体" w:eastAsia="黑体" w:cs="宋体"/>
          <w:bCs/>
          <w:kern w:val="0"/>
          <w:sz w:val="32"/>
          <w:szCs w:val="32"/>
        </w:rPr>
        <w:t>十、预算绩效的情况说明</w:t>
      </w:r>
      <w:bookmarkEnd w:id="32"/>
      <w:bookmarkEnd w:id="33"/>
    </w:p>
    <w:p>
      <w:pPr>
        <w:ind w:firstLine="640" w:firstLineChars="200"/>
        <w:rPr>
          <w:rFonts w:ascii="仿宋_GB2312" w:eastAsia="仿宋_GB2312"/>
          <w:sz w:val="32"/>
          <w:szCs w:val="32"/>
        </w:rPr>
      </w:pPr>
      <w:r>
        <w:rPr>
          <w:rFonts w:ascii="仿宋_GB2312" w:hAnsi="仿宋_GB2312" w:eastAsia="仿宋_GB2312" w:cs="仿宋_GB2312"/>
          <w:sz w:val="32"/>
        </w:rPr>
        <w:t>根据预算绩效管理要求，我单位2019年度开展预算绩效评价项目27个，共涉及资金128606.56万元。预算绩效管理取得的成效：2019年我单位通过相关项目的实施，严格把控着经开区建设项目的施工质量，其次通过聘请专家和第三方的服务，提升了本单位的工作效率，营造了一个良好的办公环境。例如：通过项目环境影响评价专家会审项目和瑞祥国贸及京新银座地块律师费用项目的实施，提升了我单位对开发区项目施工质量要求的把控，促进了人员工作的积极性，提高了本部门工作效率和工作质量。发现的问题及原因：1.存在部分项目未实施的情况，主要是因为这些项目前期工作复杂，准备事项较多，故未执行；2.其次项目资料不齐全,影响后续工作的推进。下一步改进措施：1.建议对项目资料做好整理归档，以便工作正常的进行。2.建议在项目前期完善相关资料，保管好项目相关资料，以备在项目后期为绩效评价报告提供基础信息。具体项目自评情况附项目支出绩效自评表。</w:t>
      </w:r>
    </w:p>
    <w:p>
      <w:pPr>
        <w:ind w:firstLine="640" w:firstLineChars="200"/>
        <w:jc w:val="center"/>
        <w:outlineLvl w:val="0"/>
        <w:rPr>
          <w:rFonts w:ascii="黑体" w:hAnsi="黑体" w:eastAsia="黑体"/>
          <w:sz w:val="32"/>
          <w:szCs w:val="32"/>
        </w:rPr>
      </w:pPr>
      <w:bookmarkStart w:id="34" w:name="_Toc3250"/>
      <w:bookmarkStart w:id="35" w:name="_Toc24143"/>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bookmarkStart w:id="36" w:name="_Toc22784"/>
      <w:bookmarkStart w:id="37" w:name="_Toc28903"/>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6062"/>
      <w:bookmarkStart w:id="39" w:name="_Toc2183"/>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32434"/>
      <w:bookmarkStart w:id="43" w:name="_Toc2130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0347"/>
      <w:bookmarkStart w:id="47" w:name="_Toc14869"/>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8884"/>
      <w:bookmarkStart w:id="49" w:name="_Toc5626"/>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7643"/>
      <w:bookmarkStart w:id="53" w:name="_Toc5453"/>
      <w:r>
        <w:rPr>
          <w:rFonts w:hint="eastAsia" w:ascii="黑体" w:hAnsi="黑体" w:eastAsia="黑体" w:cs="宋体"/>
          <w:bCs/>
          <w:kern w:val="0"/>
          <w:sz w:val="32"/>
          <w:szCs w:val="32"/>
        </w:rPr>
        <w:t>八、《政府性基金预算财政拨款收入支出决算表》</w:t>
      </w:r>
      <w:bookmarkEnd w:id="52"/>
      <w:bookmarkEnd w:id="53"/>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AencV45wEAALYD&#10;AAAOAAAAAAAAAAEAIAAAAB4BAABkcnMvZTJvRG9jLnhtbFBLBQYAAAAABgAGAFkBAAB3BQ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80"/>
  <w:doNotDisplayPageBoundaries w:val="1"/>
  <w:bordersDoNotSurroundHeader w:val="1"/>
  <w:bordersDoNotSurroundFooter w:val="1"/>
  <w:documentProtection w:edit="comments" w:enforcement="1" w:cryptProviderType="rsaFull" w:cryptAlgorithmClass="hash" w:cryptAlgorithmType="typeAny" w:cryptAlgorithmSid="4" w:cryptSpinCount="0" w:hash="ZKySMtvoW91MZPju2iS+4nUA3RQ=" w:salt="qgYOmOKq+SNziqYXJZ0BEA=="/>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A4B19"/>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099A"/>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08664FC4"/>
    <w:rsid w:val="1DAF458D"/>
    <w:rsid w:val="2A053397"/>
    <w:rsid w:val="2D1136DF"/>
    <w:rsid w:val="31C63837"/>
    <w:rsid w:val="3D5275AC"/>
    <w:rsid w:val="46901EEE"/>
    <w:rsid w:val="469C74D2"/>
    <w:rsid w:val="50DB5F45"/>
    <w:rsid w:val="69AD798C"/>
    <w:rsid w:val="6B68175F"/>
    <w:rsid w:val="73FB6630"/>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1031</Words>
  <Characters>5881</Characters>
  <Lines>49</Lines>
  <Paragraphs>13</Paragraphs>
  <TotalTime>18</TotalTime>
  <ScaleCrop>false</ScaleCrop>
  <LinksUpToDate>false</LinksUpToDate>
  <CharactersWithSpaces>6899</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2020-09-08T14:04:00Z</dcterms:created>
  <dc:creator>GXR</dc:creator>
  <cp:lastModifiedBy>Administrator</cp:lastModifiedBy>
  <dcterms:modified xsi:type="dcterms:W3CDTF">2020-10-14T11:35:40Z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