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0DAFC1" w14:textId="77777777" w:rsidR="008853A8" w:rsidRDefault="008853A8">
      <w:pPr>
        <w:rPr>
          <w:rFonts w:ascii="黑体" w:eastAsia="黑体" w:hAnsi="黑体"/>
          <w:sz w:val="32"/>
          <w:szCs w:val="32"/>
        </w:rPr>
      </w:pPr>
      <w:r>
        <w:rPr>
          <w:rFonts w:ascii="黑体" w:eastAsia="黑体" w:hAnsi="黑体" w:hint="eastAsia"/>
          <w:sz w:val="32"/>
          <w:szCs w:val="32"/>
        </w:rPr>
        <w:t>附件：</w:t>
      </w:r>
    </w:p>
    <w:p w14:paraId="611C3882" w14:textId="77777777" w:rsidR="008853A8" w:rsidRDefault="008853A8">
      <w:pPr>
        <w:jc w:val="center"/>
        <w:rPr>
          <w:rFonts w:ascii="方正小标宋_GBK" w:eastAsia="方正小标宋_GBK" w:hAnsi="宋体"/>
          <w:sz w:val="44"/>
          <w:szCs w:val="44"/>
        </w:rPr>
      </w:pPr>
    </w:p>
    <w:p w14:paraId="12B0B250" w14:textId="77777777" w:rsidR="008853A8" w:rsidRDefault="008853A8">
      <w:pPr>
        <w:jc w:val="center"/>
        <w:rPr>
          <w:rFonts w:ascii="方正小标宋_GBK" w:eastAsia="方正小标宋_GBK" w:hAnsi="宋体"/>
          <w:sz w:val="44"/>
          <w:szCs w:val="44"/>
        </w:rPr>
      </w:pPr>
    </w:p>
    <w:p w14:paraId="1FB56DCC" w14:textId="77777777" w:rsidR="008853A8" w:rsidRDefault="008853A8">
      <w:pPr>
        <w:jc w:val="center"/>
        <w:rPr>
          <w:rFonts w:ascii="方正小标宋_GBK" w:eastAsia="方正小标宋_GBK" w:hAnsi="宋体"/>
          <w:sz w:val="44"/>
          <w:szCs w:val="44"/>
        </w:rPr>
      </w:pPr>
    </w:p>
    <w:p w14:paraId="0E41F092" w14:textId="77777777" w:rsidR="008853A8" w:rsidRDefault="008853A8">
      <w:pPr>
        <w:jc w:val="center"/>
        <w:rPr>
          <w:rFonts w:ascii="方正小标宋_GBK" w:eastAsia="方正小标宋_GBK" w:hAnsi="宋体"/>
          <w:sz w:val="44"/>
          <w:szCs w:val="44"/>
        </w:rPr>
      </w:pPr>
    </w:p>
    <w:p w14:paraId="0ACE5469" w14:textId="35972067" w:rsidR="008853A8" w:rsidRDefault="00377EC6">
      <w:pPr>
        <w:jc w:val="center"/>
        <w:rPr>
          <w:rFonts w:ascii="方正小标宋_GBK" w:eastAsia="方正小标宋_GBK" w:hAnsi="宋体"/>
          <w:sz w:val="44"/>
          <w:szCs w:val="44"/>
        </w:rPr>
      </w:pPr>
      <w:r>
        <w:rPr>
          <w:rFonts w:ascii="方正小标宋_GBK" w:hAnsi="方正小标宋_GBK" w:cs="方正小标宋_GBK" w:eastAsia="方正小标宋_GBK"/>
          <w:sz w:val="44"/>
        </w:rPr>
        <w:t>新疆喀什经济开发区公共事务局2019年度部门决算公开说明</w:t>
      </w:r>
    </w:p>
    <w:p w14:paraId="2888F532" w14:textId="77777777" w:rsidR="008853A8" w:rsidRDefault="008853A8">
      <w:pPr>
        <w:jc w:val="center"/>
        <w:rPr>
          <w:rFonts w:ascii="仿宋_GB2312" w:eastAsia="仿宋_GB2312" w:hAnsi="仿宋_GB2312" w:cs="仿宋_GB2312"/>
          <w:bCs/>
          <w:kern w:val="0"/>
          <w:sz w:val="32"/>
          <w:szCs w:val="32"/>
        </w:rPr>
      </w:pPr>
      <w:r>
        <w:rPr>
          <w:rFonts w:ascii="方正小标宋_GBK" w:eastAsia="方正小标宋_GBK" w:hAnsi="宋体" w:hint="eastAsia"/>
          <w:sz w:val="44"/>
          <w:szCs w:val="44"/>
        </w:rPr>
        <w:br w:type="page"/>
      </w:r>
      <w:r>
        <w:rPr>
          <w:rFonts w:ascii="仿宋_GB2312" w:eastAsia="仿宋_GB2312" w:hAnsi="仿宋_GB2312" w:cs="仿宋_GB2312" w:hint="eastAsia"/>
          <w:b/>
          <w:kern w:val="0"/>
          <w:sz w:val="36"/>
          <w:szCs w:val="36"/>
        </w:rPr>
        <w:t>目 录</w:t>
      </w:r>
    </w:p>
    <w:p w14:paraId="293349B8" w14:textId="77777777" w:rsidR="008853A8" w:rsidRDefault="008853A8">
      <w:pPr>
        <w:pStyle w:val="TOC1"/>
        <w:tabs>
          <w:tab w:val="right" w:pos="8306"/>
        </w:tabs>
        <w:rPr>
          <w:rFonts w:ascii="仿宋_GB2312" w:eastAsia="仿宋_GB2312" w:hAnsi="仿宋_GB2312" w:cs="仿宋_GB2312"/>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部门单位概况</w:t>
        </w:r>
      </w:hyperlink>
    </w:p>
    <w:p w14:paraId="2F9FE76B"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30567" w:history="1">
        <w:r w:rsidR="008853A8">
          <w:rPr>
            <w:rFonts w:ascii="仿宋_GB2312" w:eastAsia="仿宋_GB2312" w:hAnsi="仿宋_GB2312" w:cs="仿宋_GB2312" w:hint="eastAsia"/>
            <w:bCs/>
            <w:kern w:val="0"/>
            <w:sz w:val="32"/>
            <w:szCs w:val="32"/>
          </w:rPr>
          <w:t>一、主要职能</w:t>
        </w:r>
      </w:hyperlink>
    </w:p>
    <w:p w14:paraId="247DC9F7"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151" w:history="1">
        <w:r w:rsidR="008853A8">
          <w:rPr>
            <w:rFonts w:ascii="仿宋_GB2312" w:eastAsia="仿宋_GB2312" w:hAnsi="仿宋_GB2312" w:cs="仿宋_GB2312" w:hint="eastAsia"/>
            <w:bCs/>
            <w:kern w:val="0"/>
            <w:sz w:val="32"/>
            <w:szCs w:val="32"/>
          </w:rPr>
          <w:t>二、机构设置及人员情况</w:t>
        </w:r>
      </w:hyperlink>
    </w:p>
    <w:p w14:paraId="08B9D742" w14:textId="77777777" w:rsidR="008853A8" w:rsidRDefault="0088099A">
      <w:pPr>
        <w:pStyle w:val="TOC1"/>
        <w:tabs>
          <w:tab w:val="right" w:pos="8306"/>
        </w:tabs>
        <w:rPr>
          <w:rFonts w:ascii="仿宋_GB2312" w:eastAsia="仿宋_GB2312" w:hAnsi="仿宋_GB2312" w:cs="仿宋_GB2312"/>
          <w:b/>
          <w:bCs/>
          <w:sz w:val="32"/>
          <w:szCs w:val="32"/>
        </w:rPr>
      </w:pPr>
      <w:hyperlink w:anchor="_Toc29374" w:history="1">
        <w:r w:rsidR="008853A8">
          <w:rPr>
            <w:rFonts w:ascii="仿宋_GB2312" w:eastAsia="仿宋_GB2312" w:hAnsi="仿宋_GB2312" w:cs="仿宋_GB2312" w:hint="eastAsia"/>
            <w:b/>
            <w:bCs/>
            <w:sz w:val="32"/>
            <w:szCs w:val="32"/>
          </w:rPr>
          <w:t>第二部分 部门决算情况说明</w:t>
        </w:r>
      </w:hyperlink>
    </w:p>
    <w:p w14:paraId="5C83C03D"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5314" w:history="1">
        <w:r w:rsidR="008853A8">
          <w:rPr>
            <w:rFonts w:ascii="仿宋_GB2312" w:eastAsia="仿宋_GB2312" w:hAnsi="仿宋_GB2312" w:cs="仿宋_GB2312" w:hint="eastAsia"/>
            <w:bCs/>
            <w:kern w:val="0"/>
            <w:sz w:val="32"/>
            <w:szCs w:val="32"/>
          </w:rPr>
          <w:t>一、收入支出决算总体情况说明</w:t>
        </w:r>
      </w:hyperlink>
    </w:p>
    <w:p w14:paraId="4572C604"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12142" w:history="1">
        <w:r w:rsidR="008853A8">
          <w:rPr>
            <w:rFonts w:ascii="仿宋_GB2312" w:eastAsia="仿宋_GB2312" w:hAnsi="仿宋_GB2312" w:cs="仿宋_GB2312" w:hint="eastAsia"/>
            <w:bCs/>
            <w:kern w:val="0"/>
            <w:sz w:val="32"/>
            <w:szCs w:val="32"/>
          </w:rPr>
          <w:t>二、收入决算情况说明</w:t>
        </w:r>
      </w:hyperlink>
    </w:p>
    <w:p w14:paraId="5F2369D5"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13201" w:history="1">
        <w:r w:rsidR="008853A8">
          <w:rPr>
            <w:rFonts w:ascii="仿宋_GB2312" w:eastAsia="仿宋_GB2312" w:hAnsi="仿宋_GB2312" w:cs="仿宋_GB2312" w:hint="eastAsia"/>
            <w:bCs/>
            <w:kern w:val="0"/>
            <w:sz w:val="32"/>
            <w:szCs w:val="32"/>
          </w:rPr>
          <w:t>三、支出决算情况说明</w:t>
        </w:r>
      </w:hyperlink>
    </w:p>
    <w:p w14:paraId="6C9FFD2C"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6564" w:history="1">
        <w:r w:rsidR="008853A8">
          <w:rPr>
            <w:rFonts w:ascii="仿宋_GB2312" w:eastAsia="仿宋_GB2312" w:hAnsi="仿宋_GB2312" w:cs="仿宋_GB2312" w:hint="eastAsia"/>
            <w:bCs/>
            <w:kern w:val="0"/>
            <w:sz w:val="32"/>
            <w:szCs w:val="32"/>
          </w:rPr>
          <w:t>四、财政拨款收入支出决算总体情况说明</w:t>
        </w:r>
      </w:hyperlink>
    </w:p>
    <w:p w14:paraId="50C0774C"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0360" w:history="1">
        <w:r w:rsidR="008853A8">
          <w:rPr>
            <w:rFonts w:ascii="仿宋_GB2312" w:eastAsia="仿宋_GB2312" w:hAnsi="仿宋_GB2312" w:cs="仿宋_GB2312" w:hint="eastAsia"/>
            <w:bCs/>
            <w:kern w:val="0"/>
            <w:sz w:val="32"/>
            <w:szCs w:val="32"/>
          </w:rPr>
          <w:t>五、一般公共预算财政拨款支出决算情况说明</w:t>
        </w:r>
      </w:hyperlink>
    </w:p>
    <w:p w14:paraId="02AD7142"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30870" w:history="1">
        <w:r w:rsidR="008853A8">
          <w:rPr>
            <w:rFonts w:ascii="仿宋_GB2312" w:eastAsia="仿宋_GB2312" w:hAnsi="仿宋_GB2312" w:cs="仿宋_GB2312" w:hint="eastAsia"/>
            <w:bCs/>
            <w:kern w:val="0"/>
            <w:sz w:val="32"/>
            <w:szCs w:val="32"/>
          </w:rPr>
          <w:t>六、一般公共预算财政拨款基本支出决算情况说明</w:t>
        </w:r>
      </w:hyperlink>
    </w:p>
    <w:p w14:paraId="52DEB1DD"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1518" w:history="1">
        <w:r w:rsidR="008853A8">
          <w:rPr>
            <w:rFonts w:ascii="仿宋_GB2312" w:eastAsia="仿宋_GB2312" w:hAnsi="仿宋_GB2312" w:cs="仿宋_GB2312" w:hint="eastAsia"/>
            <w:bCs/>
            <w:kern w:val="0"/>
            <w:sz w:val="32"/>
            <w:szCs w:val="32"/>
          </w:rPr>
          <w:t>七、一般公共预算财政拨款“三公”经费支出决算情况说明</w:t>
        </w:r>
      </w:hyperlink>
    </w:p>
    <w:p w14:paraId="445A50AA"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5810" w:history="1">
        <w:r w:rsidR="008853A8">
          <w:rPr>
            <w:rFonts w:ascii="仿宋_GB2312" w:eastAsia="仿宋_GB2312" w:hAnsi="仿宋_GB2312" w:cs="仿宋_GB2312" w:hint="eastAsia"/>
            <w:bCs/>
            <w:kern w:val="0"/>
            <w:sz w:val="32"/>
            <w:szCs w:val="32"/>
          </w:rPr>
          <w:t>八、政府性基金预算收入支出决算情况说明</w:t>
        </w:r>
      </w:hyperlink>
    </w:p>
    <w:p w14:paraId="57D57162"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1235" w:history="1">
        <w:r w:rsidR="008853A8">
          <w:rPr>
            <w:rFonts w:ascii="仿宋_GB2312" w:eastAsia="仿宋_GB2312" w:hAnsi="仿宋_GB2312" w:cs="仿宋_GB2312" w:hint="eastAsia"/>
            <w:bCs/>
            <w:kern w:val="0"/>
            <w:sz w:val="32"/>
            <w:szCs w:val="32"/>
          </w:rPr>
          <w:t>九、其他重要事项的情况说明</w:t>
        </w:r>
      </w:hyperlink>
    </w:p>
    <w:p w14:paraId="326B9E76" w14:textId="77777777" w:rsidR="008853A8" w:rsidRDefault="0088099A">
      <w:pPr>
        <w:pStyle w:val="TOC3"/>
        <w:tabs>
          <w:tab w:val="right" w:pos="8306"/>
        </w:tabs>
        <w:ind w:leftChars="0" w:left="0"/>
        <w:rPr>
          <w:rFonts w:ascii="仿宋_GB2312" w:eastAsia="仿宋_GB2312" w:hAnsi="仿宋_GB2312" w:cs="仿宋_GB2312"/>
          <w:sz w:val="32"/>
          <w:szCs w:val="32"/>
        </w:rPr>
      </w:pPr>
      <w:hyperlink w:anchor="_Toc14519" w:history="1">
        <w:r w:rsidR="008853A8">
          <w:rPr>
            <w:rFonts w:ascii="仿宋_GB2312" w:eastAsia="仿宋_GB2312" w:hAnsi="仿宋_GB2312" w:cs="仿宋_GB2312" w:hint="eastAsia"/>
            <w:sz w:val="32"/>
            <w:szCs w:val="32"/>
          </w:rPr>
          <w:t>（一）机关运行经费支出情况</w:t>
        </w:r>
      </w:hyperlink>
    </w:p>
    <w:p w14:paraId="65AAD0E2" w14:textId="77777777" w:rsidR="008853A8" w:rsidRDefault="0088099A">
      <w:pPr>
        <w:pStyle w:val="TOC3"/>
        <w:tabs>
          <w:tab w:val="right" w:pos="8306"/>
        </w:tabs>
        <w:ind w:leftChars="0" w:left="0"/>
        <w:rPr>
          <w:rFonts w:ascii="仿宋_GB2312" w:eastAsia="仿宋_GB2312" w:hAnsi="仿宋_GB2312" w:cs="仿宋_GB2312"/>
          <w:sz w:val="32"/>
          <w:szCs w:val="32"/>
        </w:rPr>
      </w:pPr>
      <w:hyperlink w:anchor="_Toc227" w:history="1">
        <w:r w:rsidR="008853A8">
          <w:rPr>
            <w:rFonts w:ascii="仿宋_GB2312" w:eastAsia="仿宋_GB2312" w:hAnsi="仿宋_GB2312" w:cs="仿宋_GB2312" w:hint="eastAsia"/>
            <w:sz w:val="32"/>
            <w:szCs w:val="32"/>
          </w:rPr>
          <w:t>（二）政府采购情况</w:t>
        </w:r>
      </w:hyperlink>
    </w:p>
    <w:p w14:paraId="651C5AE5" w14:textId="77777777" w:rsidR="008853A8" w:rsidRDefault="0088099A">
      <w:pPr>
        <w:pStyle w:val="TOC3"/>
        <w:tabs>
          <w:tab w:val="right" w:pos="8306"/>
        </w:tabs>
        <w:ind w:leftChars="0" w:left="0"/>
        <w:rPr>
          <w:rFonts w:ascii="仿宋_GB2312" w:eastAsia="仿宋_GB2312" w:hAnsi="仿宋_GB2312" w:cs="仿宋_GB2312"/>
          <w:sz w:val="32"/>
          <w:szCs w:val="32"/>
        </w:rPr>
      </w:pPr>
      <w:hyperlink w:anchor="_Toc8391" w:history="1">
        <w:r w:rsidR="008853A8">
          <w:rPr>
            <w:rFonts w:ascii="仿宋_GB2312" w:eastAsia="仿宋_GB2312" w:hAnsi="仿宋_GB2312" w:cs="仿宋_GB2312" w:hint="eastAsia"/>
            <w:sz w:val="32"/>
            <w:szCs w:val="32"/>
          </w:rPr>
          <w:t>（三）国有资产占用情况说明</w:t>
        </w:r>
      </w:hyperlink>
    </w:p>
    <w:p w14:paraId="0BD7F982"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11283" w:history="1">
        <w:r w:rsidR="008853A8">
          <w:rPr>
            <w:rFonts w:ascii="仿宋_GB2312" w:eastAsia="仿宋_GB2312" w:hAnsi="仿宋_GB2312" w:cs="仿宋_GB2312" w:hint="eastAsia"/>
            <w:bCs/>
            <w:kern w:val="0"/>
            <w:sz w:val="32"/>
            <w:szCs w:val="32"/>
          </w:rPr>
          <w:t>十、预算绩效的情况说明</w:t>
        </w:r>
      </w:hyperlink>
    </w:p>
    <w:p w14:paraId="778B9C6E" w14:textId="77777777" w:rsidR="008853A8" w:rsidRDefault="0088099A">
      <w:pPr>
        <w:pStyle w:val="TOC1"/>
        <w:tabs>
          <w:tab w:val="right" w:pos="8306"/>
        </w:tabs>
        <w:rPr>
          <w:rFonts w:ascii="仿宋_GB2312" w:eastAsia="仿宋_GB2312" w:hAnsi="仿宋_GB2312" w:cs="仿宋_GB2312"/>
          <w:b/>
          <w:bCs/>
          <w:sz w:val="32"/>
          <w:szCs w:val="32"/>
        </w:rPr>
      </w:pPr>
      <w:hyperlink w:anchor="_Toc3250" w:history="1">
        <w:r w:rsidR="008853A8">
          <w:rPr>
            <w:rFonts w:ascii="仿宋_GB2312" w:eastAsia="仿宋_GB2312" w:hAnsi="仿宋_GB2312" w:cs="仿宋_GB2312" w:hint="eastAsia"/>
            <w:b/>
            <w:bCs/>
            <w:sz w:val="32"/>
            <w:szCs w:val="32"/>
          </w:rPr>
          <w:t>第三部分 专业名词解释</w:t>
        </w:r>
      </w:hyperlink>
    </w:p>
    <w:p w14:paraId="41FD2E9B" w14:textId="77777777" w:rsidR="008853A8" w:rsidRDefault="0088099A">
      <w:pPr>
        <w:pStyle w:val="TOC1"/>
        <w:tabs>
          <w:tab w:val="right" w:pos="8306"/>
        </w:tabs>
        <w:rPr>
          <w:rFonts w:ascii="仿宋_GB2312" w:eastAsia="仿宋_GB2312" w:hAnsi="仿宋_GB2312" w:cs="仿宋_GB2312"/>
          <w:b/>
          <w:bCs/>
          <w:sz w:val="32"/>
          <w:szCs w:val="32"/>
        </w:rPr>
      </w:pPr>
      <w:hyperlink w:anchor="_Toc22784" w:history="1">
        <w:r w:rsidR="008853A8">
          <w:rPr>
            <w:rFonts w:ascii="仿宋_GB2312" w:eastAsia="仿宋_GB2312" w:hAnsi="仿宋_GB2312" w:cs="仿宋_GB2312" w:hint="eastAsia"/>
            <w:b/>
            <w:bCs/>
            <w:sz w:val="32"/>
            <w:szCs w:val="32"/>
          </w:rPr>
          <w:t>第四部分 部门决算报表（见附表）</w:t>
        </w:r>
      </w:hyperlink>
    </w:p>
    <w:p w14:paraId="28F1D9E2"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183" w:history="1">
        <w:r w:rsidR="008853A8">
          <w:rPr>
            <w:rFonts w:ascii="仿宋_GB2312" w:eastAsia="仿宋_GB2312" w:hAnsi="仿宋_GB2312" w:cs="仿宋_GB2312" w:hint="eastAsia"/>
            <w:bCs/>
            <w:kern w:val="0"/>
            <w:sz w:val="32"/>
            <w:szCs w:val="32"/>
          </w:rPr>
          <w:t>一、《收入支出决算总表》</w:t>
        </w:r>
      </w:hyperlink>
    </w:p>
    <w:p w14:paraId="61408A51"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4532" w:history="1">
        <w:r w:rsidR="008853A8">
          <w:rPr>
            <w:rFonts w:ascii="仿宋_GB2312" w:eastAsia="仿宋_GB2312" w:hAnsi="仿宋_GB2312" w:cs="仿宋_GB2312" w:hint="eastAsia"/>
            <w:bCs/>
            <w:kern w:val="0"/>
            <w:sz w:val="32"/>
            <w:szCs w:val="32"/>
          </w:rPr>
          <w:t>二、《收入决算表》</w:t>
        </w:r>
      </w:hyperlink>
    </w:p>
    <w:p w14:paraId="04072FC1"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32434" w:history="1">
        <w:r w:rsidR="008853A8">
          <w:rPr>
            <w:rFonts w:ascii="仿宋_GB2312" w:eastAsia="仿宋_GB2312" w:hAnsi="仿宋_GB2312" w:cs="仿宋_GB2312" w:hint="eastAsia"/>
            <w:bCs/>
            <w:kern w:val="0"/>
            <w:sz w:val="32"/>
            <w:szCs w:val="32"/>
          </w:rPr>
          <w:t>三、《支出决算表》</w:t>
        </w:r>
      </w:hyperlink>
    </w:p>
    <w:p w14:paraId="22BFA8ED"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8786" w:history="1">
        <w:r w:rsidR="008853A8">
          <w:rPr>
            <w:rFonts w:ascii="仿宋_GB2312" w:eastAsia="仿宋_GB2312" w:hAnsi="仿宋_GB2312" w:cs="仿宋_GB2312" w:hint="eastAsia"/>
            <w:bCs/>
            <w:kern w:val="0"/>
            <w:sz w:val="32"/>
            <w:szCs w:val="32"/>
          </w:rPr>
          <w:t>四、《财政拨款收入支出决算总表》</w:t>
        </w:r>
      </w:hyperlink>
    </w:p>
    <w:p w14:paraId="2DC04D36"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14869" w:history="1">
        <w:r w:rsidR="008853A8">
          <w:rPr>
            <w:rFonts w:ascii="仿宋_GB2312" w:eastAsia="仿宋_GB2312" w:hAnsi="仿宋_GB2312" w:cs="仿宋_GB2312" w:hint="eastAsia"/>
            <w:bCs/>
            <w:kern w:val="0"/>
            <w:sz w:val="32"/>
            <w:szCs w:val="32"/>
          </w:rPr>
          <w:t>五、《一般公共预算财政拨款支出决算表》</w:t>
        </w:r>
      </w:hyperlink>
    </w:p>
    <w:p w14:paraId="455EE489"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8884" w:history="1">
        <w:r w:rsidR="008853A8">
          <w:rPr>
            <w:rFonts w:ascii="仿宋_GB2312" w:eastAsia="仿宋_GB2312" w:hAnsi="仿宋_GB2312" w:cs="仿宋_GB2312" w:hint="eastAsia"/>
            <w:bCs/>
            <w:kern w:val="0"/>
            <w:sz w:val="32"/>
            <w:szCs w:val="32"/>
          </w:rPr>
          <w:t>六、《一般公共预算财政拨款基本支出决算表》</w:t>
        </w:r>
      </w:hyperlink>
    </w:p>
    <w:p w14:paraId="64724664"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9106" w:history="1">
        <w:r w:rsidR="008853A8">
          <w:rPr>
            <w:rFonts w:ascii="仿宋_GB2312" w:eastAsia="仿宋_GB2312" w:hAnsi="仿宋_GB2312" w:cs="仿宋_GB2312" w:hint="eastAsia"/>
            <w:bCs/>
            <w:kern w:val="0"/>
            <w:sz w:val="32"/>
            <w:szCs w:val="32"/>
          </w:rPr>
          <w:t>七、《一般公共预算财政拨款“三公”经费支出决算表》</w:t>
        </w:r>
      </w:hyperlink>
    </w:p>
    <w:p w14:paraId="0F035661"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7643" w:history="1">
        <w:r w:rsidR="008853A8">
          <w:rPr>
            <w:rFonts w:ascii="仿宋_GB2312" w:eastAsia="仿宋_GB2312" w:hAnsi="仿宋_GB2312" w:cs="仿宋_GB2312" w:hint="eastAsia"/>
            <w:bCs/>
            <w:kern w:val="0"/>
            <w:sz w:val="32"/>
            <w:szCs w:val="32"/>
          </w:rPr>
          <w:t>八、《政府性基金预算财政拨款收入支出决算表》</w:t>
        </w:r>
      </w:hyperlink>
    </w:p>
    <w:p w14:paraId="0E1577DF" w14:textId="77777777" w:rsidR="008853A8" w:rsidRDefault="008853A8">
      <w:r>
        <w:rPr>
          <w:rFonts w:ascii="仿宋_GB2312" w:eastAsia="仿宋_GB2312" w:hAnsi="仿宋_GB2312" w:cs="仿宋_GB2312" w:hint="eastAsia"/>
          <w:sz w:val="32"/>
          <w:szCs w:val="32"/>
        </w:rPr>
        <w:fldChar w:fldCharType="end"/>
      </w:r>
    </w:p>
    <w:p w14:paraId="68A45511" w14:textId="77777777" w:rsidR="008853A8" w:rsidRDefault="008853A8">
      <w:pPr>
        <w:ind w:firstLineChars="200" w:firstLine="640"/>
        <w:jc w:val="center"/>
        <w:outlineLvl w:val="0"/>
        <w:rPr>
          <w:rFonts w:ascii="黑体" w:eastAsia="黑体" w:hAnsi="黑体"/>
          <w:sz w:val="32"/>
          <w:szCs w:val="32"/>
        </w:rPr>
      </w:pPr>
      <w:r>
        <w:rPr>
          <w:rFonts w:ascii="仿宋_GB2312" w:eastAsia="仿宋_GB2312" w:hint="eastAsia"/>
          <w:sz w:val="32"/>
          <w:szCs w:val="32"/>
        </w:rPr>
        <w:br w:type="page"/>
      </w:r>
      <w:bookmarkStart w:id="0" w:name="_Toc24028"/>
      <w:bookmarkStart w:id="1" w:name="_Toc32314"/>
      <w:r>
        <w:rPr>
          <w:rFonts w:ascii="黑体" w:eastAsia="黑体" w:hAnsi="黑体" w:hint="eastAsia"/>
          <w:sz w:val="32"/>
          <w:szCs w:val="32"/>
        </w:rPr>
        <w:t>第一部分 部门单位概况</w:t>
      </w:r>
      <w:bookmarkEnd w:id="0"/>
      <w:bookmarkEnd w:id="1"/>
    </w:p>
    <w:p w14:paraId="036049B7" w14:textId="77777777" w:rsidR="008853A8" w:rsidRDefault="008853A8">
      <w:pPr>
        <w:ind w:firstLineChars="200" w:firstLine="640"/>
        <w:outlineLvl w:val="1"/>
        <w:rPr>
          <w:rFonts w:ascii="黑体" w:eastAsia="黑体" w:hAnsi="黑体" w:cs="宋体"/>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pPr>
        <w:ind w:firstLine="480"/>
        <w:jc w:val="both"/>
      </w:pPr>
      <w:r>
        <w:rPr>
          <w:rFonts w:ascii="仿宋_GB2312" w:hAnsi="仿宋_GB2312" w:cs="仿宋_GB2312" w:eastAsia="仿宋_GB2312"/>
          <w:b w:val="false"/>
          <w:sz w:val="32"/>
        </w:rPr>
        <w:t>负责公共事务的管理协调及与派驻开发区机构的协调工作；负责组织人事和机构编制管理；承担干部的选拔任免和考核奖惩工作；推进人才管理改革试验区各项工作；负责制定人才战略</w:t>
      </w:r>
    </w:p>
    <w:p w14:paraId="22BD2715" w14:textId="3A98898C" w:rsidR="008853A8" w:rsidRDefault="008853A8">
      <w:pPr>
        <w:ind w:firstLineChars="200" w:firstLine="640"/>
        <w:outlineLvl w:val="1"/>
        <w:rPr>
          <w:rFonts w:ascii="黑体" w:eastAsia="黑体" w:hAnsi="黑体" w:cs="宋体"/>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08E18313" w14:textId="72E3148E" w:rsidR="001F777A" w:rsidRPr="001F777A" w:rsidRDefault="001F777A" w:rsidP="001F777A">
      <w:pPr>
        <w:ind w:firstLineChars="200" w:firstLine="640"/>
      </w:pPr>
      <w:r>
        <w:rPr>
          <w:rFonts w:ascii="仿宋_GB2312" w:hAnsi="仿宋_GB2312" w:cs="仿宋_GB2312" w:eastAsia="仿宋_GB2312"/>
          <w:sz w:val="32"/>
        </w:rPr>
        <w:t>新疆喀什经济开发区公共事务局2019年度，实有人数10人，其中：在职人员10人，离休人员0人，退休人员0人。</w:t>
      </w:r>
    </w:p>
    <w:p w14:paraId="65B8FE61" w14:textId="77777777" w:rsidR="00862395" w:rsidRDefault="00862395" w:rsidP="00862395">
      <w:pPr>
        <w:ind w:firstLineChars="200" w:firstLine="640"/>
        <w:rPr>
          <w:rFonts w:ascii="仿宋_GB2312" w:eastAsia="仿宋_GB2312"/>
          <w:sz w:val="32"/>
          <w:szCs w:val="32"/>
        </w:rPr>
      </w:pPr>
      <w:r>
        <w:rPr>
          <w:rFonts w:ascii="仿宋_GB2312" w:hAnsi="仿宋_GB2312" w:cs="仿宋_GB2312" w:eastAsia="仿宋_GB2312"/>
          <w:sz w:val="32"/>
        </w:rPr>
        <w:t>从部门决算单位构成看，新疆喀什经济开发区公共事务局部门决算包括：新疆喀什经济开发区公共事务局决算。</w:t>
      </w:r>
    </w:p>
    <w:p w14:paraId="2C581B27" w14:textId="77777777" w:rsidR="008853A8" w:rsidRDefault="008853A8">
      <w:pPr>
        <w:ind w:firstLineChars="200" w:firstLine="640"/>
        <w:jc w:val="center"/>
        <w:outlineLvl w:val="0"/>
        <w:rPr>
          <w:rFonts w:ascii="黑体" w:eastAsia="黑体" w:hAnsi="黑体"/>
          <w:sz w:val="32"/>
          <w:szCs w:val="32"/>
        </w:rPr>
      </w:pPr>
      <w:bookmarkStart w:id="6" w:name="_Toc3092"/>
      <w:bookmarkStart w:id="7" w:name="_Toc29374"/>
      <w:r>
        <w:rPr>
          <w:rFonts w:ascii="黑体" w:eastAsia="黑体" w:hAnsi="黑体" w:hint="eastAsia"/>
          <w:sz w:val="32"/>
          <w:szCs w:val="32"/>
        </w:rPr>
        <w:t>第二部分 部门决算情况说明</w:t>
      </w:r>
      <w:bookmarkEnd w:id="6"/>
      <w:bookmarkEnd w:id="7"/>
    </w:p>
    <w:p w14:paraId="4B167492" w14:textId="77777777" w:rsidR="008853A8" w:rsidRDefault="008853A8">
      <w:pPr>
        <w:ind w:firstLineChars="200" w:firstLine="640"/>
        <w:outlineLvl w:val="1"/>
        <w:rPr>
          <w:rFonts w:ascii="黑体" w:eastAsia="黑体" w:hAnsi="黑体" w:cs="宋体"/>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3782D0DE" w14:textId="3E55FEDD" w:rsidR="008853A8" w:rsidRDefault="007E3BFD">
      <w:pPr>
        <w:ind w:firstLineChars="200" w:firstLine="640"/>
        <w:rPr>
          <w:rFonts w:ascii="仿宋_GB2312" w:eastAsia="仿宋_GB2312"/>
          <w:sz w:val="32"/>
          <w:szCs w:val="32"/>
        </w:rPr>
      </w:pPr>
      <w:r>
        <w:rPr>
          <w:rFonts w:ascii="仿宋_GB2312" w:hAnsi="仿宋_GB2312" w:cs="仿宋_GB2312" w:eastAsia="仿宋_GB2312"/>
          <w:sz w:val="32"/>
        </w:rPr>
        <w:t>2019年度本年收入822.03万元，与上年相比，减少9,500.47万元，下降92.04%，主要原因是：2018年度预算安排人才公寓内部设施项目、就业稳工补贴、阿瓦提乡周转房等项目，而2019年财政拨款收入没有安排该部分资金，导致本年收入减少。本年支出2,540.64万元，与上年相比，减少6,484.34万元，下降71.85%，主要原因是：2018年安排人才公寓内部设施项目、就业稳工补贴、阿瓦提乡周转房等项目由上年结余结转资金中安排支付。</w:t>
      </w:r>
    </w:p>
    <w:p w14:paraId="3093A798" w14:textId="77777777" w:rsidR="008853A8" w:rsidRDefault="008853A8">
      <w:pPr>
        <w:ind w:firstLineChars="200" w:firstLine="640"/>
        <w:outlineLvl w:val="1"/>
        <w:rPr>
          <w:rFonts w:ascii="黑体" w:eastAsia="黑体" w:hAnsi="黑体" w:cs="宋体"/>
          <w:bCs/>
          <w:kern w:val="0"/>
          <w:sz w:val="32"/>
          <w:szCs w:val="32"/>
        </w:rPr>
      </w:pPr>
      <w:bookmarkStart w:id="10" w:name="_Toc1979"/>
      <w:bookmarkStart w:id="11" w:name="_Toc12142"/>
      <w:r>
        <w:rPr>
          <w:rFonts w:ascii="黑体" w:eastAsia="黑体" w:hAnsi="黑体" w:cs="宋体" w:hint="eastAsia"/>
          <w:bCs/>
          <w:kern w:val="0"/>
          <w:sz w:val="32"/>
          <w:szCs w:val="32"/>
        </w:rPr>
        <w:t>二、收入决算情况说明</w:t>
      </w:r>
      <w:bookmarkEnd w:id="10"/>
      <w:bookmarkEnd w:id="11"/>
    </w:p>
    <w:p w14:paraId="2B914EFB" w14:textId="75DF8F00" w:rsidR="008853A8" w:rsidRDefault="00125A6F">
      <w:pPr>
        <w:ind w:firstLineChars="200" w:firstLine="640"/>
        <w:rPr>
          <w:rFonts w:ascii="仿宋_GB2312" w:eastAsia="仿宋_GB2312"/>
          <w:sz w:val="32"/>
          <w:szCs w:val="32"/>
        </w:rPr>
      </w:pPr>
      <w:r>
        <w:rPr>
          <w:rFonts w:ascii="仿宋_GB2312" w:hAnsi="仿宋_GB2312" w:cs="仿宋_GB2312" w:eastAsia="仿宋_GB2312"/>
          <w:sz w:val="32"/>
        </w:rPr>
        <w:t>2019年度本年收入822.03万元，其中：财政拨款收入181.70万元，占22.1%；上级补助收入0万元，占0%；事业收入0万元，占0%；经营收入0万元，占0%；附属单位上缴收入0万元，占0%；其他收入640.33万元，占77.9%。</w:t>
      </w:r>
    </w:p>
    <w:p w14:paraId="008FC815" w14:textId="77777777" w:rsidR="008853A8" w:rsidRDefault="008853A8">
      <w:pPr>
        <w:ind w:firstLineChars="200" w:firstLine="640"/>
        <w:outlineLvl w:val="1"/>
        <w:rPr>
          <w:rFonts w:ascii="黑体" w:eastAsia="黑体" w:hAnsi="黑体" w:cs="宋体"/>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26FB7964" w14:textId="23D4D7B7" w:rsidR="008853A8" w:rsidRDefault="00233021">
      <w:pPr>
        <w:ind w:firstLineChars="200" w:firstLine="640"/>
        <w:rPr>
          <w:rFonts w:ascii="仿宋_GB2312" w:eastAsia="仿宋_GB2312"/>
          <w:sz w:val="32"/>
          <w:szCs w:val="32"/>
        </w:rPr>
      </w:pPr>
      <w:r>
        <w:rPr>
          <w:rFonts w:ascii="仿宋_GB2312" w:hAnsi="仿宋_GB2312" w:cs="仿宋_GB2312" w:eastAsia="仿宋_GB2312"/>
          <w:sz w:val="32"/>
        </w:rPr>
        <w:t>2019年度本年支出2,540.64万元，其中：基本支出129.60万元，占5.1%；项目支出2,411.04万元，占94.9%；上缴上级支出0万元，占0%；经营支出0万元，占0%；对附属单位补助支出0万元，占0%。</w:t>
      </w:r>
    </w:p>
    <w:p w14:paraId="186CA7CE" w14:textId="77777777" w:rsidR="008853A8" w:rsidRDefault="008853A8">
      <w:pPr>
        <w:ind w:firstLineChars="200" w:firstLine="640"/>
        <w:outlineLvl w:val="1"/>
        <w:rPr>
          <w:rFonts w:ascii="黑体" w:eastAsia="黑体" w:hAnsi="黑体" w:cs="宋体"/>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1B6E4AD7" w14:textId="100B88EF" w:rsidR="008853A8" w:rsidRPr="001848EE" w:rsidRDefault="001C2D35">
      <w:pPr>
        <w:ind w:firstLineChars="200" w:firstLine="640"/>
        <w:rPr>
          <w:rFonts w:ascii="仿宋_GB2312" w:eastAsia="仿宋_GB2312"/>
          <w:sz w:val="32"/>
          <w:szCs w:val="32"/>
        </w:rPr>
      </w:pPr>
      <w:r>
        <w:rPr>
          <w:rFonts w:ascii="仿宋_GB2312" w:hAnsi="仿宋_GB2312" w:cs="仿宋_GB2312" w:eastAsia="仿宋_GB2312"/>
          <w:sz w:val="32"/>
        </w:rPr>
        <w:t>2019年度财政拨款收入181.70万元，与上年相比，减少5,558.43万元，下降96.83%，主要原因是：2018年度预算安排人才公寓内部设施项目、就业稳工补贴、阿瓦提乡周转房等项目，而2019年财政拨款收入没有安排该部分资金，导致本年收入减少。财政拨款支出1,969.98万元，与上年相比，减少2,520.71万元，下降56.13%，主要原因是：2018年安排人才公寓内部设施项目、就业稳工补贴、阿瓦提乡周转房等项目由上年结余结转资金中安排支付。</w:t>
      </w:r>
    </w:p>
    <w:p w14:paraId="7139D063" w14:textId="11D128B6"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与年初预算数相比情况：财政拨款收入年初预算数301.64万元，决算数181.70万元，预决算差异率-39.76%，主要原因是：阿瓦提乡吐格贝希村村级扶贫创业基地项目、人才工作专项资金、档案室采购项目、村工作经费等项目未付清，导致预决算差异。财政拨款支出年初预算数411.50万元，决算数1,969.98万元，预决算差异率378.73%，主要原因是：2018年度人才公寓内部设施项目，就业稳工补贴，阿瓦提乡周转房项目等部分项目由上年结余结转资金中安排支付，导致预决算差异。</w:t>
      </w:r>
    </w:p>
    <w:p w14:paraId="51FC69F3" w14:textId="77777777" w:rsidR="008853A8" w:rsidRDefault="008853A8">
      <w:pPr>
        <w:ind w:firstLineChars="200" w:firstLine="640"/>
        <w:outlineLvl w:val="1"/>
        <w:rPr>
          <w:rFonts w:ascii="黑体" w:eastAsia="黑体" w:hAnsi="黑体" w:cs="宋体"/>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5B797ACC" w14:textId="2DDC565C" w:rsidR="008853A8" w:rsidRDefault="005529D0">
      <w:pPr>
        <w:ind w:firstLineChars="200" w:firstLine="640"/>
        <w:rPr>
          <w:rFonts w:ascii="仿宋_GB2312" w:eastAsia="仿宋_GB2312"/>
          <w:sz w:val="32"/>
          <w:szCs w:val="32"/>
        </w:rPr>
      </w:pPr>
      <w:r>
        <w:rPr>
          <w:rFonts w:ascii="仿宋_GB2312" w:hAnsi="仿宋_GB2312" w:cs="仿宋_GB2312" w:eastAsia="仿宋_GB2312"/>
          <w:sz w:val="32"/>
        </w:rPr>
        <w:t>2019年度一般公共预算财政拨款支出1,969.98万元。按功能分类科目项级科目公开，其中：</w:t>
      </w:r>
    </w:p>
    <w:p>
      <w:pPr>
        <w:ind w:firstLine="480"/>
        <w:jc w:val="both"/>
      </w:pPr>
      <w:r>
        <w:rPr>
          <w:rFonts w:ascii="仿宋_GB2312" w:hAnsi="仿宋_GB2312" w:cs="仿宋_GB2312" w:eastAsia="仿宋_GB2312"/>
          <w:b w:val="false"/>
          <w:sz w:val="32"/>
        </w:rPr>
        <w:t xml:space="preserve">   2011001行政运行支出108.76万元；</w:t>
      </w:r>
    </w:p>
    <w:p>
      <w:pPr>
        <w:ind w:firstLine="480"/>
        <w:jc w:val="both"/>
      </w:pPr>
      <w:r>
        <w:rPr>
          <w:rFonts w:ascii="仿宋_GB2312" w:hAnsi="仿宋_GB2312" w:cs="仿宋_GB2312" w:eastAsia="仿宋_GB2312"/>
          <w:b w:val="false"/>
          <w:sz w:val="32"/>
        </w:rPr>
        <w:t xml:space="preserve">   2011099其他人力资源事务支出51.98万元；</w:t>
      </w:r>
    </w:p>
    <w:p>
      <w:pPr>
        <w:ind w:firstLine="480"/>
        <w:jc w:val="both"/>
      </w:pPr>
      <w:r>
        <w:rPr>
          <w:rFonts w:ascii="仿宋_GB2312" w:hAnsi="仿宋_GB2312" w:cs="仿宋_GB2312" w:eastAsia="仿宋_GB2312"/>
          <w:b w:val="false"/>
          <w:sz w:val="32"/>
        </w:rPr>
        <w:t xml:space="preserve">   2080505机关事业单位基本养老保险缴费支出11.81万元；</w:t>
      </w:r>
    </w:p>
    <w:p>
      <w:pPr>
        <w:ind w:firstLine="480"/>
        <w:jc w:val="both"/>
      </w:pPr>
      <w:r>
        <w:rPr>
          <w:rFonts w:ascii="仿宋_GB2312" w:hAnsi="仿宋_GB2312" w:cs="仿宋_GB2312" w:eastAsia="仿宋_GB2312"/>
          <w:b w:val="false"/>
          <w:sz w:val="32"/>
        </w:rPr>
        <w:t xml:space="preserve">   2080799其他就业补助支出1,723.42万元；</w:t>
      </w:r>
    </w:p>
    <w:p>
      <w:pPr>
        <w:ind w:firstLine="480"/>
        <w:jc w:val="both"/>
      </w:pPr>
      <w:r>
        <w:rPr>
          <w:rFonts w:ascii="仿宋_GB2312" w:hAnsi="仿宋_GB2312" w:cs="仿宋_GB2312" w:eastAsia="仿宋_GB2312"/>
          <w:b w:val="false"/>
          <w:sz w:val="32"/>
        </w:rPr>
        <w:t xml:space="preserve">   2120399其他城乡社区公共设施支出2.62万元；</w:t>
      </w:r>
    </w:p>
    <w:p>
      <w:pPr>
        <w:ind w:firstLine="480"/>
        <w:jc w:val="both"/>
      </w:pPr>
      <w:r>
        <w:rPr>
          <w:rFonts w:ascii="仿宋_GB2312" w:hAnsi="仿宋_GB2312" w:cs="仿宋_GB2312" w:eastAsia="仿宋_GB2312"/>
          <w:b w:val="false"/>
          <w:sz w:val="32"/>
        </w:rPr>
        <w:t xml:space="preserve">   2129901其他城乡社区支出38.22万元；</w:t>
      </w:r>
    </w:p>
    <w:p>
      <w:pPr>
        <w:ind w:firstLine="480"/>
        <w:jc w:val="both"/>
      </w:pPr>
      <w:r>
        <w:rPr>
          <w:rFonts w:ascii="仿宋_GB2312" w:hAnsi="仿宋_GB2312" w:cs="仿宋_GB2312" w:eastAsia="仿宋_GB2312"/>
          <w:b w:val="false"/>
          <w:sz w:val="32"/>
        </w:rPr>
        <w:t xml:space="preserve">   2210201住房公积金支出9.04万元；</w:t>
      </w:r>
    </w:p>
    <w:p>
      <w:pPr>
        <w:ind w:firstLine="480"/>
        <w:jc w:val="both"/>
      </w:pPr>
      <w:r>
        <w:rPr>
          <w:rFonts w:ascii="仿宋_GB2312" w:hAnsi="仿宋_GB2312" w:cs="仿宋_GB2312" w:eastAsia="仿宋_GB2312"/>
          <w:b w:val="false"/>
          <w:sz w:val="32"/>
        </w:rPr>
        <w:t xml:space="preserve">   2299901其他支出24.14万元。</w:t>
      </w:r>
    </w:p>
    <w:p w14:paraId="049DFBB4" w14:textId="77777777" w:rsidR="008853A8" w:rsidRDefault="008853A8">
      <w:pPr>
        <w:ind w:firstLineChars="200" w:firstLine="640"/>
        <w:outlineLvl w:val="1"/>
        <w:rPr>
          <w:rFonts w:ascii="黑体" w:eastAsia="黑体" w:hAnsi="黑体" w:cs="宋体"/>
          <w:bCs/>
          <w:kern w:val="0"/>
          <w:sz w:val="32"/>
          <w:szCs w:val="32"/>
        </w:rPr>
      </w:pPr>
      <w:bookmarkStart w:id="18" w:name="_Toc11146"/>
      <w:bookmarkStart w:id="19" w:name="_Toc30870"/>
      <w:r>
        <w:rPr>
          <w:rFonts w:ascii="黑体" w:eastAsia="黑体" w:hAnsi="黑体" w:cs="宋体" w:hint="eastAsia"/>
          <w:bCs/>
          <w:kern w:val="0"/>
          <w:sz w:val="32"/>
          <w:szCs w:val="32"/>
        </w:rPr>
        <w:t>六、一般公共预算财政拨款基本支出决算情况说明</w:t>
      </w:r>
      <w:bookmarkEnd w:id="18"/>
      <w:bookmarkEnd w:id="19"/>
    </w:p>
    <w:p w14:paraId="3BCDD0A1" w14:textId="25AC9A26" w:rsidR="008853A8" w:rsidRDefault="005B1DE6">
      <w:pPr>
        <w:ind w:firstLineChars="200" w:firstLine="640"/>
        <w:rPr>
          <w:rFonts w:ascii="仿宋_GB2312" w:eastAsia="仿宋_GB2312"/>
          <w:sz w:val="32"/>
          <w:szCs w:val="32"/>
        </w:rPr>
      </w:pPr>
      <w:r>
        <w:rPr>
          <w:rFonts w:ascii="仿宋_GB2312" w:hAnsi="仿宋_GB2312" w:cs="仿宋_GB2312" w:eastAsia="仿宋_GB2312"/>
          <w:sz w:val="32"/>
        </w:rPr>
        <w:t>2019年度一般公共预算财政拨款基本支出129.60万元，其中：</w:t>
      </w:r>
    </w:p>
    <w:p w14:paraId="61C978B8" w14:textId="68C70B32"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人员经费124.90万元，包括：基本工资、津贴补贴、奖金、绩效工资、机关事业单位基本养老保险缴费、职工基本医疗保险缴费、公务员医疗补助缴费、其他社会保障缴费、住房公积金、其他工资福利支出。</w:t>
      </w:r>
    </w:p>
    <w:p w14:paraId="09290895" w14:textId="4CFD8C08"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公用经费4.71万元，包括：办公费、水费、差旅费、公务接待费、其他交通费用。</w:t>
      </w:r>
    </w:p>
    <w:p w14:paraId="1F5CEF98" w14:textId="77777777" w:rsidR="008853A8" w:rsidRDefault="008853A8">
      <w:pPr>
        <w:ind w:firstLineChars="200" w:firstLine="640"/>
        <w:outlineLvl w:val="1"/>
        <w:rPr>
          <w:rFonts w:ascii="黑体" w:eastAsia="黑体" w:hAnsi="黑体" w:cs="宋体"/>
          <w:bCs/>
          <w:kern w:val="0"/>
          <w:sz w:val="32"/>
          <w:szCs w:val="32"/>
        </w:rPr>
      </w:pPr>
      <w:bookmarkStart w:id="20" w:name="_Toc7190"/>
      <w:bookmarkStart w:id="21" w:name="_Toc21518"/>
      <w:r>
        <w:rPr>
          <w:rFonts w:ascii="黑体" w:eastAsia="黑体" w:hAnsi="黑体" w:cs="宋体" w:hint="eastAsia"/>
          <w:bCs/>
          <w:kern w:val="0"/>
          <w:sz w:val="32"/>
          <w:szCs w:val="32"/>
        </w:rPr>
        <w:t>七、一般公共预算财政拨款“三公”经费支出决算情况说明</w:t>
      </w:r>
      <w:bookmarkEnd w:id="20"/>
      <w:bookmarkEnd w:id="21"/>
    </w:p>
    <w:p w14:paraId="4B605590" w14:textId="2ECB7DD7" w:rsidR="008853A8" w:rsidRDefault="00340AE7">
      <w:pPr>
        <w:ind w:firstLineChars="200" w:firstLine="640"/>
        <w:rPr>
          <w:rFonts w:ascii="仿宋_GB2312" w:eastAsia="仿宋_GB2312"/>
          <w:sz w:val="32"/>
          <w:szCs w:val="32"/>
        </w:rPr>
      </w:pPr>
      <w:r>
        <w:rPr>
          <w:rFonts w:ascii="仿宋_GB2312" w:hAnsi="仿宋_GB2312" w:cs="仿宋_GB2312" w:eastAsia="仿宋_GB2312"/>
          <w:sz w:val="32"/>
        </w:rPr>
        <w:t>2019年度一般公共预算“三公”经费支出决算0.08万元，比上年减少0.42万元，降低84%，主要原因是接待来访人员减少，同时公务用车由党政办统一管理。其中，因公出国（境）费支出0万元，占0%，比上年增加0万元，增长0%，主要原因是无此项开支；公务用车购置及运行维护费支出0万元，占0%，比上年增加0万元，增长0%，主要原因是未发生车辆购置费；公务接待费支出0.08万元，占100%，比上年减少0.42万元，降低84%，主要原因是接待来访人员减少，按工作餐标准接待。具体情况如下：</w:t>
      </w:r>
    </w:p>
    <w:p w14:paraId="49BF49C2" w14:textId="3BDB51C0"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因公出国（境）费支出0万元，开支内容包括：无此项开支。单位全年安排的因公出国（境）团组0个，因公出国（境）0人次。</w:t>
      </w:r>
    </w:p>
    <w:p w14:paraId="4A7D6627" w14:textId="2636864C"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公务用车购置及运行维护费0万元，其中，公务用车购置费0万元，公务用车运行维护费0万元。公务用车运行维护费开支内容包括无此项开支。公务用车购置数0辆，公务用车保有量0辆。</w:t>
      </w:r>
    </w:p>
    <w:p w14:paraId="47C4B55E" w14:textId="65759774"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公务接待费0.08万元，开支内容包括接待来访人员餐费。单位全年安排的国内公务接待1批次，8人次。</w:t>
      </w:r>
    </w:p>
    <w:p w14:paraId="606EB0C3" w14:textId="1E9AC7CE"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与年初预算数相比情况：一般公共预算“三公”经费支出年初预算数0.22万元，决算数0.08万元，预决算差异率-63.64%，主要原因是：接待来访人员减少，导致预决算差异。其中：因公出国（境）费预算数0万元，决算数0万元，预决算差异率0%，主要原因是：未安排因公出国（境）费；公务用车购置费预算数0万元，决算数0万元，预决算差异率0%，主要原因是：未安排车辆购置费；公务用车运行费预算数0万元，决算数0万元，预决算差异率0%，主要原因是：车辆交由党政办统一管理，未发生公务用车运行费；公务接待费预算数0.22万元，决算数0.08万元，预决算差异率-63.64%，主要原因是：接待来访人员减少，导致预决算差异。</w:t>
      </w:r>
    </w:p>
    <w:p w14:paraId="11800BF9" w14:textId="2A0977DB" w:rsidR="008853A8" w:rsidRDefault="008853A8">
      <w:pPr>
        <w:ind w:firstLineChars="200" w:firstLine="640"/>
        <w:outlineLvl w:val="1"/>
        <w:rPr>
          <w:rFonts w:ascii="黑体" w:eastAsia="黑体" w:hAnsi="黑体" w:cs="宋体"/>
          <w:bCs/>
          <w:kern w:val="0"/>
          <w:sz w:val="32"/>
          <w:szCs w:val="32"/>
        </w:rPr>
      </w:pPr>
      <w:bookmarkStart w:id="22" w:name="_Toc7927"/>
      <w:bookmarkStart w:id="23" w:name="_Toc5810"/>
      <w:r>
        <w:rPr>
          <w:rFonts w:ascii="黑体" w:eastAsia="黑体" w:hAnsi="黑体" w:cs="宋体" w:hint="eastAsia"/>
          <w:bCs/>
          <w:kern w:val="0"/>
          <w:sz w:val="32"/>
          <w:szCs w:val="32"/>
        </w:rPr>
        <w:t>八、政府性基金预算收入支出决算情况说明</w:t>
      </w:r>
      <w:bookmarkEnd w:id="22"/>
      <w:bookmarkEnd w:id="23"/>
    </w:p>
    <w:p w14:paraId="1D95B262" w14:textId="74B49A74" w:rsidR="008853A8" w:rsidRPr="008F7D99" w:rsidRDefault="00922FA7">
      <w:pPr>
        <w:ind w:firstLineChars="200" w:firstLine="640"/>
        <w:rPr>
          <w:rFonts w:ascii="仿宋_GB2312" w:eastAsia="仿宋_GB2312"/>
          <w:color w:val="000000" w:themeColor="text1"/>
          <w:sz w:val="32"/>
          <w:szCs w:val="32"/>
        </w:rPr>
      </w:pPr>
      <w:r>
        <w:rPr>
          <w:rFonts w:ascii="仿宋_GB2312" w:hAnsi="仿宋_GB2312" w:cs="仿宋_GB2312" w:eastAsia="仿宋_GB2312"/>
          <w:sz w:val="32"/>
        </w:rPr>
        <w:t>我单位本年度无政府性基金预算财政拨款收入支出，政府性基金预算财政拨款收入支出决算表为空表。</w:t>
      </w:r>
    </w:p>
    <w:p w14:paraId="12E90A62" w14:textId="77777777" w:rsidR="008853A8" w:rsidRDefault="008853A8">
      <w:pPr>
        <w:ind w:firstLineChars="200" w:firstLine="640"/>
        <w:outlineLvl w:val="1"/>
        <w:rPr>
          <w:rFonts w:ascii="黑体" w:eastAsia="黑体" w:hAnsi="黑体" w:cs="宋体"/>
          <w:bCs/>
          <w:kern w:val="0"/>
          <w:sz w:val="32"/>
          <w:szCs w:val="32"/>
        </w:rPr>
      </w:pPr>
      <w:bookmarkStart w:id="24" w:name="_Toc7314"/>
      <w:bookmarkStart w:id="25" w:name="_Toc1235"/>
      <w:r>
        <w:rPr>
          <w:rFonts w:ascii="黑体" w:eastAsia="黑体" w:hAnsi="黑体" w:cs="宋体" w:hint="eastAsia"/>
          <w:bCs/>
          <w:kern w:val="0"/>
          <w:sz w:val="32"/>
          <w:szCs w:val="32"/>
        </w:rPr>
        <w:t>九、其他重要事项的情况说明</w:t>
      </w:r>
      <w:bookmarkEnd w:id="24"/>
      <w:bookmarkEnd w:id="25"/>
    </w:p>
    <w:p w14:paraId="11400E99" w14:textId="77777777" w:rsidR="008853A8" w:rsidRDefault="008853A8">
      <w:pPr>
        <w:ind w:firstLineChars="200" w:firstLine="640"/>
        <w:outlineLvl w:val="2"/>
        <w:rPr>
          <w:rFonts w:ascii="黑体" w:eastAsia="黑体" w:hAnsi="黑体"/>
          <w:sz w:val="32"/>
          <w:szCs w:val="32"/>
        </w:rPr>
      </w:pPr>
      <w:bookmarkStart w:id="26" w:name="_Toc13105"/>
      <w:bookmarkStart w:id="27" w:name="_Toc14519"/>
      <w:r>
        <w:rPr>
          <w:rFonts w:ascii="黑体" w:eastAsia="黑体" w:hAnsi="黑体" w:hint="eastAsia"/>
          <w:sz w:val="32"/>
          <w:szCs w:val="32"/>
        </w:rPr>
        <w:t>（一）机关运行经费支出情况</w:t>
      </w:r>
      <w:bookmarkEnd w:id="26"/>
      <w:bookmarkEnd w:id="27"/>
    </w:p>
    <w:p w14:paraId="75A0F21C" w14:textId="3A75121C" w:rsidR="00553FB5" w:rsidRDefault="00553FB5">
      <w:pPr>
        <w:ind w:firstLineChars="200" w:firstLine="640"/>
        <w:rPr>
          <w:rFonts w:ascii="仿宋_GB2312" w:eastAsia="仿宋_GB2312"/>
          <w:sz w:val="32"/>
          <w:szCs w:val="32"/>
        </w:rPr>
      </w:pPr>
      <w:r>
        <w:rPr>
          <w:rFonts w:ascii="仿宋_GB2312" w:hAnsi="仿宋_GB2312" w:cs="仿宋_GB2312" w:eastAsia="仿宋_GB2312"/>
          <w:sz w:val="32"/>
        </w:rPr>
        <w:t>2019年度新疆喀什经济开发区公共事务局机关运行经费支出4.71万元，比上年减少0.85万元，降低15.29%，主要原因是压缩一般经费支出。</w:t>
      </w:r>
    </w:p>
    <w:p w14:paraId="72BCBEBD" w14:textId="77777777" w:rsidR="008853A8" w:rsidRDefault="008853A8">
      <w:pPr>
        <w:ind w:firstLineChars="200" w:firstLine="640"/>
        <w:outlineLvl w:val="2"/>
        <w:rPr>
          <w:rFonts w:ascii="黑体" w:eastAsia="黑体" w:hAnsi="黑体"/>
          <w:sz w:val="32"/>
          <w:szCs w:val="32"/>
        </w:rPr>
      </w:pPr>
      <w:bookmarkStart w:id="28" w:name="_Toc26704"/>
      <w:bookmarkStart w:id="29" w:name="_Toc227"/>
      <w:r>
        <w:rPr>
          <w:rFonts w:ascii="黑体" w:eastAsia="黑体" w:hAnsi="黑体" w:hint="eastAsia"/>
          <w:sz w:val="32"/>
          <w:szCs w:val="32"/>
        </w:rPr>
        <w:t>（二）政府采购情况</w:t>
      </w:r>
      <w:bookmarkEnd w:id="28"/>
      <w:bookmarkEnd w:id="29"/>
    </w:p>
    <w:p w14:paraId="4DEE57E3" w14:textId="498B5E20" w:rsidR="008853A8" w:rsidRDefault="002122DE">
      <w:pPr>
        <w:ind w:firstLineChars="200" w:firstLine="640"/>
        <w:rPr>
          <w:rFonts w:ascii="仿宋_GB2312" w:eastAsia="仿宋_GB2312"/>
          <w:sz w:val="32"/>
          <w:szCs w:val="32"/>
        </w:rPr>
      </w:pPr>
      <w:r>
        <w:rPr>
          <w:rFonts w:ascii="仿宋_GB2312" w:hAnsi="仿宋_GB2312" w:cs="仿宋_GB2312" w:eastAsia="仿宋_GB2312"/>
          <w:sz w:val="32"/>
        </w:rPr>
        <w:t>2019年度政府采购支出总额0万元，其中：政府采购货物支出0万元、政府采购工程支出0万元、政府采购服务支出0万元。</w:t>
      </w:r>
    </w:p>
    <w:p w14:paraId="4BAE89CA" w14:textId="67110A70"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授予中小企业合同金额0万元，占政府采购支出总额的0%，其中：授予小微企业合同金额0万元，占政府采购支出总额的0%。</w:t>
      </w:r>
    </w:p>
    <w:p w14:paraId="01E8DA8F" w14:textId="77777777" w:rsidR="008853A8" w:rsidRDefault="008853A8">
      <w:pPr>
        <w:ind w:firstLineChars="200" w:firstLine="640"/>
        <w:outlineLvl w:val="2"/>
        <w:rPr>
          <w:rFonts w:ascii="黑体" w:eastAsia="黑体" w:hAnsi="黑体"/>
          <w:sz w:val="32"/>
          <w:szCs w:val="32"/>
        </w:rPr>
      </w:pPr>
      <w:bookmarkStart w:id="30" w:name="_Toc4591"/>
      <w:bookmarkStart w:id="31" w:name="_Toc8391"/>
      <w:r>
        <w:rPr>
          <w:rFonts w:ascii="黑体" w:eastAsia="黑体" w:hAnsi="黑体" w:hint="eastAsia"/>
          <w:sz w:val="32"/>
          <w:szCs w:val="32"/>
        </w:rPr>
        <w:t>（三）国有资产占用情况说明</w:t>
      </w:r>
      <w:bookmarkEnd w:id="30"/>
      <w:bookmarkEnd w:id="31"/>
    </w:p>
    <w:p w14:paraId="5D15610F" w14:textId="67052147"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截止2019年12月31日，单位共有房屋0（平方米），价值0万元。车辆0辆，价值0万元，其中：副部（省）级及以上领导用车0辆、主要领导干部用车0辆、机要通信用车0辆、应急保障用车0辆、执法执勤用车0辆、特种专业技术用车0辆、离退休干部用车0辆、其他用车0辆，其他用车主要是：日常公务用车；单位价值50万元以上通用设备0台（套）、单位价值100万元以上专用设备0台（套）。</w:t>
      </w:r>
    </w:p>
    <w:p w14:paraId="183976BD" w14:textId="77777777" w:rsidR="008853A8" w:rsidRDefault="008853A8">
      <w:pPr>
        <w:ind w:firstLineChars="200" w:firstLine="640"/>
        <w:outlineLvl w:val="1"/>
        <w:rPr>
          <w:rFonts w:ascii="黑体" w:eastAsia="黑体" w:hAnsi="黑体" w:cs="宋体"/>
          <w:bCs/>
          <w:kern w:val="0"/>
          <w:sz w:val="32"/>
          <w:szCs w:val="32"/>
        </w:rPr>
      </w:pPr>
      <w:bookmarkStart w:id="32" w:name="_Toc435"/>
      <w:bookmarkStart w:id="33" w:name="_Toc11283"/>
      <w:r>
        <w:rPr>
          <w:rFonts w:ascii="黑体" w:eastAsia="黑体" w:hAnsi="黑体" w:cs="宋体" w:hint="eastAsia"/>
          <w:bCs/>
          <w:kern w:val="0"/>
          <w:sz w:val="32"/>
          <w:szCs w:val="32"/>
        </w:rPr>
        <w:t>十、预算绩效的情况说明</w:t>
      </w:r>
      <w:bookmarkEnd w:id="32"/>
      <w:bookmarkEnd w:id="33"/>
    </w:p>
    <w:p w14:paraId="6F8CE58F" w14:textId="5A0ABE11" w:rsidR="008853A8" w:rsidRDefault="0095219B">
      <w:pPr>
        <w:ind w:firstLineChars="200" w:firstLine="640"/>
        <w:rPr>
          <w:rFonts w:ascii="仿宋_GB2312" w:eastAsia="仿宋_GB2312"/>
          <w:sz w:val="32"/>
          <w:szCs w:val="32"/>
        </w:rPr>
      </w:pPr>
      <w:r>
        <w:rPr>
          <w:rFonts w:ascii="仿宋_GB2312" w:hAnsi="仿宋_GB2312" w:cs="仿宋_GB2312" w:eastAsia="仿宋_GB2312"/>
          <w:sz w:val="32"/>
        </w:rPr>
        <w:t>根据预算绩效管理要求，我单位2019年度开展预算绩效评价项目8个，共涉及资金273.17万元。预算绩效管理取得的成效：我单位在项目建设领导小组的指导下，加快项目的实施，加强项目实施管理和监督资金合理使用、建设工程项目的质量管理、现场技术指导、专项培训等工作。将成本控制在合理范围之内，资金使用的程序较规范，资金拨付有完整的审批程序和手续，项目资金使用不存在超支情况。发现的问题及原因：存在部分项目指标未完成的情况，主要是资料不齐全,资金支付进度较慢，完成率较低。下一步改进措施：建议在项目前期完善相关手续，项目资料准备齐全，避免影响付款进度。具体项目自评情况附项目支出绩效自评表。</w:t>
      </w:r>
    </w:p>
    <w:p w14:paraId="0B4F81EF" w14:textId="77777777" w:rsidR="008853A8" w:rsidRDefault="008853A8">
      <w:pPr>
        <w:ind w:firstLineChars="200" w:firstLine="640"/>
        <w:jc w:val="center"/>
        <w:outlineLvl w:val="0"/>
        <w:rPr>
          <w:rFonts w:ascii="黑体" w:eastAsia="黑体" w:hAnsi="黑体"/>
          <w:sz w:val="32"/>
          <w:szCs w:val="32"/>
        </w:rPr>
      </w:pPr>
      <w:bookmarkStart w:id="34" w:name="_Toc24143"/>
      <w:bookmarkStart w:id="35" w:name="_Toc3250"/>
      <w:r>
        <w:rPr>
          <w:rFonts w:ascii="黑体" w:eastAsia="黑体" w:hAnsi="黑体" w:hint="eastAsia"/>
          <w:sz w:val="32"/>
          <w:szCs w:val="32"/>
        </w:rPr>
        <w:t>第三部分 专业名词解释</w:t>
      </w:r>
      <w:bookmarkEnd w:id="34"/>
      <w:bookmarkEnd w:id="35"/>
    </w:p>
    <w:p w14:paraId="04385F5B"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财政拨款收入：指同级财政当年拨付的资金。</w:t>
      </w:r>
    </w:p>
    <w:p w14:paraId="01AEDC03"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上级补助收入：指事业单位从主管部门和上级单位取得的非财政补助收入。</w:t>
      </w:r>
    </w:p>
    <w:p w14:paraId="2C3B0A2D"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事业收入：指事业单位开展专业业务活动及其辅助活动所取得的收入。</w:t>
      </w:r>
    </w:p>
    <w:p w14:paraId="700224D5"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经营收入：指事业单位在专业业务活动及其辅助活动之外开展非独立核算经营活动取得的收入。</w:t>
      </w:r>
    </w:p>
    <w:p w14:paraId="1D4BF0F9"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附属单位上缴收入：指事业单位附属的独立核算单位按有关规定上缴的收入。</w:t>
      </w:r>
    </w:p>
    <w:p w14:paraId="05684206"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其他收入：指除上述“财政拨款收入”、“事业收入”、“经营收入”、“附属单位上缴收入”等之外取得的收入。</w:t>
      </w:r>
    </w:p>
    <w:p w14:paraId="0BB99130"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14:paraId="690389F8"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14:paraId="47D0DD63"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14:paraId="32CA0731"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基本支出：指为保障机构正常运转、完成日常工作任务而发生的人员支出和公用支出。</w:t>
      </w:r>
    </w:p>
    <w:p w14:paraId="0B82AFAE"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项目支出：指在基本支出之外为完成特定行政任务和事业发展目标所发生的支出。</w:t>
      </w:r>
    </w:p>
    <w:p w14:paraId="2F9A67A0"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经营支出：指事业单位在专业业务活动及其辅助活动之外开展非独立核算经营活动发生的支出。</w:t>
      </w:r>
    </w:p>
    <w:p w14:paraId="51862E8E"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对附属单位补助支出：指事业单位发生的用非财政预算资金对附属单位的补助支出。</w:t>
      </w:r>
    </w:p>
    <w:p w14:paraId="23B4D7BA"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6BC4C1C0" w14:textId="77777777" w:rsidR="008853A8" w:rsidRDefault="008853A8">
      <w:pPr>
        <w:ind w:firstLineChars="200" w:firstLine="640"/>
        <w:rPr>
          <w:rFonts w:ascii="仿宋_GB2312" w:eastAsia="仿宋_GB2312"/>
          <w:sz w:val="32"/>
          <w:szCs w:val="32"/>
        </w:rPr>
      </w:pPr>
      <w:r>
        <w:rPr>
          <w:rFonts w:ascii="仿宋_GB2312" w:eastAsia="仿宋_GB2312" w:hint="eastAsia"/>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7649D204" w14:textId="77777777" w:rsidR="008853A8" w:rsidRDefault="008853A8">
      <w:pPr>
        <w:ind w:firstLineChars="200" w:firstLine="640"/>
        <w:jc w:val="center"/>
        <w:outlineLvl w:val="0"/>
        <w:rPr>
          <w:rFonts w:ascii="黑体" w:eastAsia="黑体" w:hAnsi="黑体"/>
          <w:sz w:val="32"/>
          <w:szCs w:val="32"/>
        </w:rPr>
      </w:pPr>
      <w:bookmarkStart w:id="36" w:name="_Toc28903"/>
      <w:bookmarkStart w:id="37" w:name="_Toc22784"/>
      <w:r>
        <w:rPr>
          <w:rFonts w:ascii="黑体" w:eastAsia="黑体" w:hAnsi="黑体" w:hint="eastAsia"/>
          <w:sz w:val="32"/>
          <w:szCs w:val="32"/>
        </w:rPr>
        <w:t>第四部分 部门决算报表（见附表）</w:t>
      </w:r>
      <w:bookmarkEnd w:id="36"/>
      <w:bookmarkEnd w:id="37"/>
    </w:p>
    <w:p w14:paraId="090AD99E" w14:textId="77777777" w:rsidR="008853A8" w:rsidRDefault="008853A8">
      <w:pPr>
        <w:ind w:firstLineChars="200" w:firstLine="640"/>
        <w:outlineLvl w:val="1"/>
        <w:rPr>
          <w:rFonts w:ascii="黑体" w:eastAsia="黑体" w:hAnsi="黑体" w:cs="宋体"/>
          <w:bCs/>
          <w:kern w:val="0"/>
          <w:sz w:val="32"/>
          <w:szCs w:val="32"/>
        </w:rPr>
      </w:pPr>
      <w:bookmarkStart w:id="38" w:name="_Toc6062"/>
      <w:bookmarkStart w:id="39" w:name="_Toc2183"/>
      <w:r>
        <w:rPr>
          <w:rFonts w:ascii="黑体" w:eastAsia="黑体" w:hAnsi="黑体" w:cs="宋体" w:hint="eastAsia"/>
          <w:bCs/>
          <w:kern w:val="0"/>
          <w:sz w:val="32"/>
          <w:szCs w:val="32"/>
        </w:rPr>
        <w:t>一、《收入支出决算总表》</w:t>
      </w:r>
      <w:bookmarkEnd w:id="38"/>
      <w:bookmarkEnd w:id="39"/>
    </w:p>
    <w:p w14:paraId="004B471D" w14:textId="77777777" w:rsidR="008853A8" w:rsidRDefault="008853A8">
      <w:pPr>
        <w:ind w:firstLineChars="200" w:firstLine="640"/>
        <w:outlineLvl w:val="1"/>
        <w:rPr>
          <w:rFonts w:ascii="黑体" w:eastAsia="黑体" w:hAnsi="黑体" w:cs="宋体"/>
          <w:bCs/>
          <w:kern w:val="0"/>
          <w:sz w:val="32"/>
          <w:szCs w:val="32"/>
        </w:rPr>
      </w:pPr>
      <w:bookmarkStart w:id="40" w:name="_Toc30364"/>
      <w:bookmarkStart w:id="41" w:name="_Toc24532"/>
      <w:r>
        <w:rPr>
          <w:rFonts w:ascii="黑体" w:eastAsia="黑体" w:hAnsi="黑体" w:cs="宋体" w:hint="eastAsia"/>
          <w:bCs/>
          <w:kern w:val="0"/>
          <w:sz w:val="32"/>
          <w:szCs w:val="32"/>
        </w:rPr>
        <w:t>二、《收入决算表》</w:t>
      </w:r>
      <w:bookmarkEnd w:id="40"/>
      <w:bookmarkEnd w:id="41"/>
    </w:p>
    <w:p w14:paraId="62F3C64D" w14:textId="77777777" w:rsidR="008853A8" w:rsidRDefault="008853A8">
      <w:pPr>
        <w:ind w:firstLineChars="200" w:firstLine="640"/>
        <w:outlineLvl w:val="1"/>
        <w:rPr>
          <w:rFonts w:ascii="黑体" w:eastAsia="黑体" w:hAnsi="黑体" w:cs="宋体"/>
          <w:bCs/>
          <w:kern w:val="0"/>
          <w:sz w:val="32"/>
          <w:szCs w:val="32"/>
        </w:rPr>
      </w:pPr>
      <w:bookmarkStart w:id="42" w:name="_Toc21304"/>
      <w:bookmarkStart w:id="43" w:name="_Toc32434"/>
      <w:r>
        <w:rPr>
          <w:rFonts w:ascii="黑体" w:eastAsia="黑体" w:hAnsi="黑体" w:cs="宋体" w:hint="eastAsia"/>
          <w:bCs/>
          <w:kern w:val="0"/>
          <w:sz w:val="32"/>
          <w:szCs w:val="32"/>
        </w:rPr>
        <w:t>三、《支出决算表》</w:t>
      </w:r>
      <w:bookmarkEnd w:id="42"/>
      <w:bookmarkEnd w:id="43"/>
    </w:p>
    <w:p w14:paraId="3D0B5C9A" w14:textId="77777777" w:rsidR="008853A8" w:rsidRDefault="008853A8">
      <w:pPr>
        <w:ind w:firstLineChars="200" w:firstLine="640"/>
        <w:outlineLvl w:val="1"/>
        <w:rPr>
          <w:rFonts w:ascii="黑体" w:eastAsia="黑体" w:hAnsi="黑体" w:cs="宋体"/>
          <w:bCs/>
          <w:kern w:val="0"/>
          <w:sz w:val="32"/>
          <w:szCs w:val="32"/>
        </w:rPr>
      </w:pPr>
      <w:bookmarkStart w:id="44" w:name="_Toc14238"/>
      <w:bookmarkStart w:id="45" w:name="_Toc28786"/>
      <w:r>
        <w:rPr>
          <w:rFonts w:ascii="黑体" w:eastAsia="黑体" w:hAnsi="黑体" w:cs="宋体" w:hint="eastAsia"/>
          <w:bCs/>
          <w:kern w:val="0"/>
          <w:sz w:val="32"/>
          <w:szCs w:val="32"/>
        </w:rPr>
        <w:t>四、《财政拨款收入支出决算总表》</w:t>
      </w:r>
      <w:bookmarkEnd w:id="44"/>
      <w:bookmarkEnd w:id="45"/>
    </w:p>
    <w:p w14:paraId="77EC65FF" w14:textId="77777777" w:rsidR="008853A8" w:rsidRDefault="008853A8">
      <w:pPr>
        <w:ind w:firstLineChars="200" w:firstLine="640"/>
        <w:outlineLvl w:val="1"/>
        <w:rPr>
          <w:rFonts w:ascii="黑体" w:eastAsia="黑体" w:hAnsi="黑体" w:cs="宋体"/>
          <w:bCs/>
          <w:kern w:val="0"/>
          <w:sz w:val="32"/>
          <w:szCs w:val="32"/>
        </w:rPr>
      </w:pPr>
      <w:bookmarkStart w:id="46" w:name="_Toc10347"/>
      <w:bookmarkStart w:id="47" w:name="_Toc14869"/>
      <w:r>
        <w:rPr>
          <w:rFonts w:ascii="黑体" w:eastAsia="黑体" w:hAnsi="黑体" w:cs="宋体" w:hint="eastAsia"/>
          <w:bCs/>
          <w:kern w:val="0"/>
          <w:sz w:val="32"/>
          <w:szCs w:val="32"/>
        </w:rPr>
        <w:t>五、《一般公共预算财政拨款支出决算表》</w:t>
      </w:r>
      <w:bookmarkEnd w:id="46"/>
      <w:bookmarkEnd w:id="47"/>
    </w:p>
    <w:p w14:paraId="4311D09D" w14:textId="77777777" w:rsidR="008853A8" w:rsidRDefault="008853A8">
      <w:pPr>
        <w:ind w:firstLineChars="200" w:firstLine="640"/>
        <w:outlineLvl w:val="1"/>
        <w:rPr>
          <w:rFonts w:ascii="黑体" w:eastAsia="黑体" w:hAnsi="黑体" w:cs="宋体"/>
          <w:bCs/>
          <w:kern w:val="0"/>
          <w:sz w:val="32"/>
          <w:szCs w:val="32"/>
        </w:rPr>
      </w:pPr>
      <w:bookmarkStart w:id="48" w:name="_Toc5626"/>
      <w:bookmarkStart w:id="49" w:name="_Toc8884"/>
      <w:r>
        <w:rPr>
          <w:rFonts w:ascii="黑体" w:eastAsia="黑体" w:hAnsi="黑体" w:cs="宋体" w:hint="eastAsia"/>
          <w:bCs/>
          <w:kern w:val="0"/>
          <w:sz w:val="32"/>
          <w:szCs w:val="32"/>
        </w:rPr>
        <w:t>六、《一般公共预算财政拨款基本支出决算表》</w:t>
      </w:r>
      <w:bookmarkEnd w:id="48"/>
      <w:bookmarkEnd w:id="49"/>
    </w:p>
    <w:p w14:paraId="1D7CDCF2" w14:textId="77777777" w:rsidR="008853A8" w:rsidRDefault="008853A8">
      <w:pPr>
        <w:ind w:firstLineChars="200" w:firstLine="640"/>
        <w:outlineLvl w:val="1"/>
        <w:rPr>
          <w:rFonts w:ascii="黑体" w:eastAsia="黑体" w:hAnsi="黑体" w:cs="宋体"/>
          <w:bCs/>
          <w:kern w:val="0"/>
          <w:sz w:val="32"/>
          <w:szCs w:val="32"/>
        </w:rPr>
      </w:pPr>
      <w:bookmarkStart w:id="50" w:name="_Toc32663"/>
      <w:bookmarkStart w:id="51" w:name="_Toc29106"/>
      <w:r>
        <w:rPr>
          <w:rFonts w:ascii="黑体" w:eastAsia="黑体" w:hAnsi="黑体" w:cs="宋体" w:hint="eastAsia"/>
          <w:bCs/>
          <w:kern w:val="0"/>
          <w:sz w:val="32"/>
          <w:szCs w:val="32"/>
        </w:rPr>
        <w:t>七、《一般公共预算财政拨款“三公”经费支出决算表》</w:t>
      </w:r>
      <w:bookmarkEnd w:id="50"/>
      <w:bookmarkEnd w:id="51"/>
    </w:p>
    <w:p w14:paraId="5A34F572" w14:textId="77777777" w:rsidR="008853A8" w:rsidRDefault="008853A8">
      <w:pPr>
        <w:ind w:firstLineChars="200" w:firstLine="640"/>
        <w:outlineLvl w:val="1"/>
        <w:rPr>
          <w:rFonts w:ascii="黑体" w:eastAsia="黑体" w:hAnsi="黑体" w:cs="宋体"/>
          <w:bCs/>
          <w:kern w:val="0"/>
          <w:sz w:val="32"/>
          <w:szCs w:val="32"/>
        </w:rPr>
      </w:pPr>
      <w:bookmarkStart w:id="52" w:name="_Toc5453"/>
      <w:bookmarkStart w:id="53" w:name="_Toc7643"/>
      <w:r>
        <w:rPr>
          <w:rFonts w:ascii="黑体" w:eastAsia="黑体" w:hAnsi="黑体" w:cs="宋体" w:hint="eastAsia"/>
          <w:bCs/>
          <w:kern w:val="0"/>
          <w:sz w:val="32"/>
          <w:szCs w:val="32"/>
        </w:rPr>
        <w:t>八、《政府性基金预算财政拨款收入支出决算表》</w:t>
      </w:r>
      <w:bookmarkEnd w:id="52"/>
      <w:bookmarkEnd w:id="53"/>
    </w:p>
    <w:sectPr w:rsidR="008853A8">
      <w:footerReference w:type="default" r:id="rId6"/>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C45808" w14:textId="77777777" w:rsidR="0088099A" w:rsidRDefault="0088099A">
      <w:r>
        <w:separator/>
      </w:r>
    </w:p>
  </w:endnote>
  <w:endnote w:type="continuationSeparator" w:id="0">
    <w:p w14:paraId="1F226AA3" w14:textId="77777777" w:rsidR="0088099A" w:rsidRDefault="00880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仿宋_GB2312">
    <w:altName w:val="微软雅黑"/>
    <w:charset w:val="86"/>
    <w:family w:val="moder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2C3B13" w14:textId="7F39015E" w:rsidR="008853A8" w:rsidRDefault="004F1D2D">
    <w:pPr>
      <w:pStyle w:val="a4"/>
    </w:pPr>
    <w:r>
      <w:rPr>
        <w:noProof/>
      </w:rPr>
      <mc:AlternateContent>
        <mc:Choice Requires="wps">
          <w:drawing>
            <wp:anchor distT="0" distB="0" distL="114300" distR="114300" simplePos="0" relativeHeight="251657728" behindDoc="0" locked="0" layoutInCell="1" allowOverlap="1" wp14:anchorId="5D818AEF" wp14:editId="432F0E00">
              <wp:simplePos x="0" y="0"/>
              <wp:positionH relativeFrom="margin">
                <wp:align>center</wp:align>
              </wp:positionH>
              <wp:positionV relativeFrom="paragraph">
                <wp:posOffset>0</wp:posOffset>
              </wp:positionV>
              <wp:extent cx="1828800" cy="1828800"/>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BD847" w14:textId="77777777" w:rsidR="008853A8" w:rsidRDefault="008853A8">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D818AEF" id="_x0000_t202" coordsize="21600,21600" o:spt="202" path="m,l,21600r21600,l21600,xe">
              <v:stroke joinstyle="miter"/>
              <v:path gradientshapeok="t" o:connecttype="rect"/>
            </v:shapetype>
            <v:shape id="文本框 1" o:spid="_x0000_s1026" type="#_x0000_t202" style="position:absolute;margin-left:0;margin-top:0;width:2in;height:2in;z-index:251657728;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ncV47QEAALYDAAAOAAAAZHJzL2Uyb0RvYy54bWysU82O0zAQviPxDpbvNGkPqIqarpZdFSEt P9LCAziOk1jEHmvsNikPAG/AiQt3nqvPwdhpyrJ7Q1yssT3+5ptvPm+uRtOzg0KvwZZ8ucg5U1ZC rW1b8k8fdy/WnPkgbC16sKrkR+X51fb5s83gCrWCDvpaISMQ64vBlbwLwRVZ5mWnjPALcMrSZQNo RKAttlmNYiB002erPH+ZDYC1Q5DKezq9nS75NuE3jZLhfdN4FVhfcuIW0oppreKabTeiaFG4Tssz DfEPLIzQlopeoG5FEGyP+gmU0RLBQxMWEkwGTaOlSj1QN8v8UTf3nXAq9ULieHeRyf8/WPnu8AGZ rml2nFlhaESn799OP36dfn5lyyjP4HxBWfeO8sL4CsaYGlv17g7kZ88s3HTCtuoaEYZOiZropZfZ g6cTjo8g1fAWaqoj9gES0NigiYCkBiN0GtPxMho1BiZjyfVqvc7pStLdvCF2mSjm5w59eK3AsBiU HGn2CV4c7nyYUueUWM3CTvd9mn9v/zogzHiS6EfGE/cwVuNZjgrqIzWCMNmJ7E9BB/iFs4GsVHJL Xuesf2NJiui6OcA5qOZAWEkPSx44m8KbMLlz71C3HeHOYl+TXDudGom6ThzOLMkcSYqzkaP7Hu5T 1p/vtv0NAAD//wMAUEsDBBQABgAIAAAAIQAMSvDu1gAAAAUBAAAPAAAAZHJzL2Rvd25yZXYueG1s TI9Ba8MwDIXvg/4Ho8Juq9MetpDFKaXQS2/rxmA3N1bjMFsOtpsm/37aGGwXoccTT9+rt5N3YsSY +kAK1qsCBFIbTE+dgrfXw0MJImVNRrtAqGDGBNtmcVfryoQbveB4yp3gEEqVVmBzHiopU2vR67QK AxJ7lxC9zixjJ03UNw73Tm6K4lF63RN/sHrAvcX283T1Cp6m94BDwj1+XMY22n4u3XFW6n457Z5B ZJzy3zF84zM6NMx0DlcySTgFXCT/TPY2Zcny/LvIppb/6ZsvAAAA//8DAFBLAQItABQABgAIAAAA IQC2gziS/gAAAOEBAAATAAAAAAAAAAAAAAAAAAAAAABbQ29udGVudF9UeXBlc10ueG1sUEsBAi0A FAAGAAgAAAAhADj9If/WAAAAlAEAAAsAAAAAAAAAAAAAAAAALwEAAF9yZWxzLy5yZWxzUEsBAi0A FAAGAAgAAAAhAB6dxXjtAQAAtgMAAA4AAAAAAAAAAAAAAAAALgIAAGRycy9lMm9Eb2MueG1sUEsB Ai0AFAAGAAgAAAAhAAxK8O7WAAAABQEAAA8AAAAAAAAAAAAAAAAARwQAAGRycy9kb3ducmV2Lnht bFBLBQYAAAAABAAEAPMAAABKBQAAAAA= " filled="f" stroked="f">
              <v:textbox style="mso-fit-shape-to-text:t" inset="0,0,0,0">
                <w:txbxContent>
                  <w:p w14:paraId="4DBBD847" w14:textId="77777777" w:rsidR="008853A8" w:rsidRDefault="008853A8">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31E4CB" w14:textId="77777777" w:rsidR="0088099A" w:rsidRDefault="0088099A">
      <w:r>
        <w:separator/>
      </w:r>
    </w:p>
  </w:footnote>
  <w:footnote w:type="continuationSeparator" w:id="0">
    <w:p w14:paraId="30BF4204" w14:textId="77777777" w:rsidR="0088099A" w:rsidRDefault="008809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bordersDoNotSurroundHeader/>
  <w:bordersDoNotSurroundFooter/>
  <w:documentProtection w:enforcement="1" w:edit="comments" w:salt="OWXtThy3e4Iink+unZ7HhA==" w:hash="SPqDpjYaPrugWpxvkWEzOyjf9TE=" w:cryptSpinCount="100000" w:cryptAlgorithmType="typeAny" w:cryptAlgorithmClass="hash" w:cryptProviderType="rsaFull" w:cryptAlgorithmSid="4"/>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E66"/>
    <w:rsid w:val="000033EF"/>
    <w:rsid w:val="00004533"/>
    <w:rsid w:val="00005A21"/>
    <w:rsid w:val="0004063C"/>
    <w:rsid w:val="000701A7"/>
    <w:rsid w:val="00082456"/>
    <w:rsid w:val="000A663A"/>
    <w:rsid w:val="000B5514"/>
    <w:rsid w:val="000B57B8"/>
    <w:rsid w:val="000B69AB"/>
    <w:rsid w:val="000F01B7"/>
    <w:rsid w:val="000F6705"/>
    <w:rsid w:val="001111D4"/>
    <w:rsid w:val="001128A8"/>
    <w:rsid w:val="001130AE"/>
    <w:rsid w:val="001237CF"/>
    <w:rsid w:val="00125A6F"/>
    <w:rsid w:val="0014029C"/>
    <w:rsid w:val="00144642"/>
    <w:rsid w:val="00146FA3"/>
    <w:rsid w:val="001573AA"/>
    <w:rsid w:val="00162E66"/>
    <w:rsid w:val="001826D1"/>
    <w:rsid w:val="001848EE"/>
    <w:rsid w:val="00186B3B"/>
    <w:rsid w:val="001C2D35"/>
    <w:rsid w:val="001C5BE8"/>
    <w:rsid w:val="001C6E66"/>
    <w:rsid w:val="001D3634"/>
    <w:rsid w:val="001D37EF"/>
    <w:rsid w:val="001E4D79"/>
    <w:rsid w:val="001F29A9"/>
    <w:rsid w:val="001F777A"/>
    <w:rsid w:val="002122DE"/>
    <w:rsid w:val="00227229"/>
    <w:rsid w:val="002328AF"/>
    <w:rsid w:val="00233021"/>
    <w:rsid w:val="0024217C"/>
    <w:rsid w:val="00243E6C"/>
    <w:rsid w:val="00246EBC"/>
    <w:rsid w:val="00265F92"/>
    <w:rsid w:val="00272845"/>
    <w:rsid w:val="00282550"/>
    <w:rsid w:val="00287829"/>
    <w:rsid w:val="0029171A"/>
    <w:rsid w:val="00292B7F"/>
    <w:rsid w:val="00292C0A"/>
    <w:rsid w:val="002A4B19"/>
    <w:rsid w:val="002B072F"/>
    <w:rsid w:val="002B37DA"/>
    <w:rsid w:val="002B7A04"/>
    <w:rsid w:val="002D187F"/>
    <w:rsid w:val="002F1732"/>
    <w:rsid w:val="003106FF"/>
    <w:rsid w:val="00327986"/>
    <w:rsid w:val="003314E6"/>
    <w:rsid w:val="00340AE7"/>
    <w:rsid w:val="00354737"/>
    <w:rsid w:val="0037159F"/>
    <w:rsid w:val="00377EC6"/>
    <w:rsid w:val="003920B8"/>
    <w:rsid w:val="003A44F0"/>
    <w:rsid w:val="003C3EF4"/>
    <w:rsid w:val="003D1DD1"/>
    <w:rsid w:val="003E5F70"/>
    <w:rsid w:val="003F60E1"/>
    <w:rsid w:val="00400D8F"/>
    <w:rsid w:val="004161A5"/>
    <w:rsid w:val="00430E56"/>
    <w:rsid w:val="004318F5"/>
    <w:rsid w:val="00456820"/>
    <w:rsid w:val="00471387"/>
    <w:rsid w:val="00471BBD"/>
    <w:rsid w:val="0047268F"/>
    <w:rsid w:val="004A41CF"/>
    <w:rsid w:val="004A44C9"/>
    <w:rsid w:val="004B2E7F"/>
    <w:rsid w:val="004B3B3F"/>
    <w:rsid w:val="004D35C0"/>
    <w:rsid w:val="004E519F"/>
    <w:rsid w:val="004F1D2D"/>
    <w:rsid w:val="004F506B"/>
    <w:rsid w:val="00531503"/>
    <w:rsid w:val="00534ECA"/>
    <w:rsid w:val="005358C2"/>
    <w:rsid w:val="005474EB"/>
    <w:rsid w:val="005506DD"/>
    <w:rsid w:val="005529D0"/>
    <w:rsid w:val="00553FB5"/>
    <w:rsid w:val="00554A58"/>
    <w:rsid w:val="00560394"/>
    <w:rsid w:val="0056525F"/>
    <w:rsid w:val="005B1DE6"/>
    <w:rsid w:val="005C11EB"/>
    <w:rsid w:val="006032AE"/>
    <w:rsid w:val="00684E46"/>
    <w:rsid w:val="0068591E"/>
    <w:rsid w:val="00690F22"/>
    <w:rsid w:val="00693012"/>
    <w:rsid w:val="006B0B73"/>
    <w:rsid w:val="006D2B94"/>
    <w:rsid w:val="006D3853"/>
    <w:rsid w:val="006E0721"/>
    <w:rsid w:val="0070295D"/>
    <w:rsid w:val="00725755"/>
    <w:rsid w:val="0075023C"/>
    <w:rsid w:val="00750D8A"/>
    <w:rsid w:val="00764051"/>
    <w:rsid w:val="00772611"/>
    <w:rsid w:val="007741F8"/>
    <w:rsid w:val="007B0022"/>
    <w:rsid w:val="007E2E4F"/>
    <w:rsid w:val="007E3BFD"/>
    <w:rsid w:val="00807B4B"/>
    <w:rsid w:val="008144CF"/>
    <w:rsid w:val="00822EED"/>
    <w:rsid w:val="00827663"/>
    <w:rsid w:val="00847CE1"/>
    <w:rsid w:val="00852D88"/>
    <w:rsid w:val="00857132"/>
    <w:rsid w:val="00862395"/>
    <w:rsid w:val="0088099A"/>
    <w:rsid w:val="008853A8"/>
    <w:rsid w:val="00887778"/>
    <w:rsid w:val="008A54C1"/>
    <w:rsid w:val="008D5B57"/>
    <w:rsid w:val="008F7D99"/>
    <w:rsid w:val="0090080D"/>
    <w:rsid w:val="00922FA7"/>
    <w:rsid w:val="00927301"/>
    <w:rsid w:val="009351E1"/>
    <w:rsid w:val="0094423A"/>
    <w:rsid w:val="0095219B"/>
    <w:rsid w:val="00963E2E"/>
    <w:rsid w:val="009774AD"/>
    <w:rsid w:val="00980F6F"/>
    <w:rsid w:val="00993788"/>
    <w:rsid w:val="009A173F"/>
    <w:rsid w:val="009C479E"/>
    <w:rsid w:val="009F4245"/>
    <w:rsid w:val="009F594D"/>
    <w:rsid w:val="00A009B3"/>
    <w:rsid w:val="00A239E7"/>
    <w:rsid w:val="00A34EDA"/>
    <w:rsid w:val="00A77ECE"/>
    <w:rsid w:val="00AA13D0"/>
    <w:rsid w:val="00AC0B18"/>
    <w:rsid w:val="00AC1D87"/>
    <w:rsid w:val="00AC2605"/>
    <w:rsid w:val="00AE136F"/>
    <w:rsid w:val="00AE6C82"/>
    <w:rsid w:val="00AE7A56"/>
    <w:rsid w:val="00AF0871"/>
    <w:rsid w:val="00AF530E"/>
    <w:rsid w:val="00AF5DFE"/>
    <w:rsid w:val="00B006E5"/>
    <w:rsid w:val="00B24234"/>
    <w:rsid w:val="00B3219F"/>
    <w:rsid w:val="00B42062"/>
    <w:rsid w:val="00B64D13"/>
    <w:rsid w:val="00B76725"/>
    <w:rsid w:val="00BC38D2"/>
    <w:rsid w:val="00BC65E4"/>
    <w:rsid w:val="00BE0A9F"/>
    <w:rsid w:val="00BF4880"/>
    <w:rsid w:val="00C01003"/>
    <w:rsid w:val="00C2317E"/>
    <w:rsid w:val="00C87860"/>
    <w:rsid w:val="00C92609"/>
    <w:rsid w:val="00C974A0"/>
    <w:rsid w:val="00CA0969"/>
    <w:rsid w:val="00CB7A14"/>
    <w:rsid w:val="00CC66CE"/>
    <w:rsid w:val="00CD1E0A"/>
    <w:rsid w:val="00CE40E2"/>
    <w:rsid w:val="00CE4AEB"/>
    <w:rsid w:val="00CE74CB"/>
    <w:rsid w:val="00D00B68"/>
    <w:rsid w:val="00D04E19"/>
    <w:rsid w:val="00D6644C"/>
    <w:rsid w:val="00D71F68"/>
    <w:rsid w:val="00D767F4"/>
    <w:rsid w:val="00DA07A0"/>
    <w:rsid w:val="00DB4A9A"/>
    <w:rsid w:val="00DB6F81"/>
    <w:rsid w:val="00DD3B82"/>
    <w:rsid w:val="00E02851"/>
    <w:rsid w:val="00E43F43"/>
    <w:rsid w:val="00E76594"/>
    <w:rsid w:val="00EA656B"/>
    <w:rsid w:val="00EB1FF2"/>
    <w:rsid w:val="00EB42AF"/>
    <w:rsid w:val="00EB49C8"/>
    <w:rsid w:val="00EE3598"/>
    <w:rsid w:val="00EE791B"/>
    <w:rsid w:val="00EF3292"/>
    <w:rsid w:val="00F040C7"/>
    <w:rsid w:val="00F04DC0"/>
    <w:rsid w:val="00F24BA1"/>
    <w:rsid w:val="00F45607"/>
    <w:rsid w:val="00F552F7"/>
    <w:rsid w:val="00F57EE2"/>
    <w:rsid w:val="00F67C07"/>
    <w:rsid w:val="00F777E1"/>
    <w:rsid w:val="00F80266"/>
    <w:rsid w:val="00F83E19"/>
    <w:rsid w:val="00FB3828"/>
    <w:rsid w:val="00FC7A52"/>
    <w:rsid w:val="00FE0761"/>
    <w:rsid w:val="00FF5166"/>
    <w:rsid w:val="06792773"/>
    <w:rsid w:val="1DAF458D"/>
    <w:rsid w:val="2A053397"/>
    <w:rsid w:val="2D1136DF"/>
    <w:rsid w:val="31C63837"/>
    <w:rsid w:val="3D5275AC"/>
    <w:rsid w:val="46901EEE"/>
    <w:rsid w:val="469C74D2"/>
    <w:rsid w:val="50DB5F45"/>
    <w:rsid w:val="69AD798C"/>
    <w:rsid w:val="6B68175F"/>
    <w:rsid w:val="73FB6630"/>
    <w:rsid w:val="77ED6F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A131AF"/>
  <w15:chartTrackingRefBased/>
  <w15:docId w15:val="{7A89F94D-944E-49B7-A5B0-21D8D0FEA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2">
    <w:name w:val="toc 2"/>
    <w:basedOn w:val="a"/>
    <w:next w:val="a"/>
    <w:pPr>
      <w:ind w:leftChars="200" w:left="420"/>
    </w:pPr>
  </w:style>
  <w:style w:type="paragraph" w:styleId="TOC1">
    <w:name w:val="toc 1"/>
    <w:basedOn w:val="a"/>
    <w:next w:val="a"/>
  </w:style>
  <w:style w:type="paragraph" w:styleId="a3">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3">
    <w:name w:val="toc 3"/>
    <w:basedOn w:val="a"/>
    <w:next w:val="a"/>
    <w:pPr>
      <w:ind w:leftChars="400" w:left="840"/>
    </w:pPr>
  </w:style>
  <w:style w:type="paragraph" w:styleId="a4">
    <w:name w:val="footer"/>
    <w:basedOn w:val="a"/>
    <w:pPr>
      <w:tabs>
        <w:tab w:val="center" w:pos="4153"/>
        <w:tab w:val="right" w:pos="8306"/>
      </w:tabs>
      <w:snapToGrid w:val="0"/>
      <w:jc w:val="left"/>
    </w:pPr>
    <w:rPr>
      <w:sz w:val="18"/>
    </w:rPr>
  </w:style>
  <w:style w:type="paragraph" w:styleId="a5">
    <w:name w:val="annotation text"/>
    <w:basedOn w:val="a"/>
    <w:pPr>
      <w:jc w:val="left"/>
    </w:pPr>
  </w:style>
  <w:style w:type="paragraph" w:customStyle="1" w:styleId="WPSOffice3">
    <w:name w:val="WPSOffice手动目录 3"/>
    <w:pPr>
      <w:ind w:leftChars="400" w:left="400"/>
    </w:pPr>
  </w:style>
  <w:style w:type="paragraph" w:customStyle="1" w:styleId="WPSOffice2">
    <w:name w:val="WPSOffice手动目录 2"/>
    <w:pPr>
      <w:ind w:leftChars="200" w:left="200"/>
    </w:pPr>
  </w:style>
  <w:style w:type="paragraph" w:customStyle="1" w:styleId="WPSOffice1">
    <w:name w:val="WPSOffice手动目录 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7381100">
      <w:bodyDiv w:val="1"/>
      <w:marLeft w:val="0"/>
      <w:marRight w:val="0"/>
      <w:marTop w:val="0"/>
      <w:marBottom w:val="0"/>
      <w:divBdr>
        <w:top w:val="none" w:sz="0" w:space="0" w:color="auto"/>
        <w:left w:val="none" w:sz="0" w:space="0" w:color="auto"/>
        <w:bottom w:val="none" w:sz="0" w:space="0" w:color="auto"/>
        <w:right w:val="none" w:sz="0" w:space="0" w:color="auto"/>
      </w:divBdr>
    </w:div>
    <w:div w:id="726150857">
      <w:bodyDiv w:val="1"/>
      <w:marLeft w:val="0"/>
      <w:marRight w:val="0"/>
      <w:marTop w:val="0"/>
      <w:marBottom w:val="0"/>
      <w:divBdr>
        <w:top w:val="none" w:sz="0" w:space="0" w:color="auto"/>
        <w:left w:val="none" w:sz="0" w:space="0" w:color="auto"/>
        <w:bottom w:val="none" w:sz="0" w:space="0" w:color="auto"/>
        <w:right w:val="none" w:sz="0" w:space="0" w:color="auto"/>
      </w:divBdr>
    </w:div>
    <w:div w:id="1085761621">
      <w:bodyDiv w:val="1"/>
      <w:marLeft w:val="0"/>
      <w:marRight w:val="0"/>
      <w:marTop w:val="0"/>
      <w:marBottom w:val="0"/>
      <w:divBdr>
        <w:top w:val="none" w:sz="0" w:space="0" w:color="auto"/>
        <w:left w:val="none" w:sz="0" w:space="0" w:color="auto"/>
        <w:bottom w:val="none" w:sz="0" w:space="0" w:color="auto"/>
        <w:right w:val="none" w:sz="0" w:space="0" w:color="auto"/>
      </w:divBdr>
    </w:div>
    <w:div w:id="1572694809">
      <w:bodyDiv w:val="1"/>
      <w:marLeft w:val="0"/>
      <w:marRight w:val="0"/>
      <w:marTop w:val="0"/>
      <w:marBottom w:val="0"/>
      <w:divBdr>
        <w:top w:val="none" w:sz="0" w:space="0" w:color="auto"/>
        <w:left w:val="none" w:sz="0" w:space="0" w:color="auto"/>
        <w:bottom w:val="none" w:sz="0" w:space="0" w:color="auto"/>
        <w:right w:val="none" w:sz="0" w:space="0" w:color="auto"/>
      </w:divBdr>
    </w:div>
    <w:div w:id="1814247851">
      <w:bodyDiv w:val="1"/>
      <w:marLeft w:val="0"/>
      <w:marRight w:val="0"/>
      <w:marTop w:val="0"/>
      <w:marBottom w:val="0"/>
      <w:divBdr>
        <w:top w:val="none" w:sz="0" w:space="0" w:color="auto"/>
        <w:left w:val="none" w:sz="0" w:space="0" w:color="auto"/>
        <w:bottom w:val="none" w:sz="0" w:space="0" w:color="auto"/>
        <w:right w:val="none" w:sz="0" w:space="0" w:color="auto"/>
      </w:divBdr>
    </w:div>
    <w:div w:id="1847329340">
      <w:bodyDiv w:val="1"/>
      <w:marLeft w:val="0"/>
      <w:marRight w:val="0"/>
      <w:marTop w:val="0"/>
      <w:marBottom w:val="0"/>
      <w:divBdr>
        <w:top w:val="none" w:sz="0" w:space="0" w:color="auto"/>
        <w:left w:val="none" w:sz="0" w:space="0" w:color="auto"/>
        <w:bottom w:val="none" w:sz="0" w:space="0" w:color="auto"/>
        <w:right w:val="none" w:sz="0" w:space="0" w:color="auto"/>
      </w:divBdr>
    </w:div>
    <w:div w:id="1919709360">
      <w:bodyDiv w:val="1"/>
      <w:marLeft w:val="0"/>
      <w:marRight w:val="0"/>
      <w:marTop w:val="0"/>
      <w:marBottom w:val="0"/>
      <w:divBdr>
        <w:top w:val="none" w:sz="0" w:space="0" w:color="auto"/>
        <w:left w:val="none" w:sz="0" w:space="0" w:color="auto"/>
        <w:bottom w:val="none" w:sz="0" w:space="0" w:color="auto"/>
        <w:right w:val="none" w:sz="0" w:space="0" w:color="auto"/>
      </w:divBdr>
    </w:div>
    <w:div w:id="2019891532">
      <w:bodyDiv w:val="1"/>
      <w:marLeft w:val="0"/>
      <w:marRight w:val="0"/>
      <w:marTop w:val="0"/>
      <w:marBottom w:val="0"/>
      <w:divBdr>
        <w:top w:val="none" w:sz="0" w:space="0" w:color="auto"/>
        <w:left w:val="none" w:sz="0" w:space="0" w:color="auto"/>
        <w:bottom w:val="none" w:sz="0" w:space="0" w:color="auto"/>
        <w:right w:val="none" w:sz="0" w:space="0" w:color="auto"/>
      </w:divBdr>
    </w:div>
    <w:div w:id="2102601509">
      <w:bodyDiv w:val="1"/>
      <w:marLeft w:val="0"/>
      <w:marRight w:val="0"/>
      <w:marTop w:val="0"/>
      <w:marBottom w:val="0"/>
      <w:divBdr>
        <w:top w:val="none" w:sz="0" w:space="0" w:color="auto"/>
        <w:left w:val="none" w:sz="0" w:space="0" w:color="auto"/>
        <w:bottom w:val="none" w:sz="0" w:space="0" w:color="auto"/>
        <w:right w:val="none" w:sz="0" w:space="0" w:color="auto"/>
      </w:divBdr>
    </w:div>
    <w:div w:id="210819305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1031</Words>
  <Characters>5881</Characters>
  <Application>Microsoft Office Word</Application>
  <DocSecurity>0</DocSecurity>
  <Lines>49</Lines>
  <Paragraphs>13</Paragraphs>
  <ScaleCrop>false</ScaleCrop>
  <Company/>
  <LinksUpToDate>false</LinksUpToDate>
  <CharactersWithSpaces>6899</CharactersWithSpaces>
  <SharedDoc>false</SharedDoc>
  <HLinks>
    <vt:vector size="162" baseType="variant">
      <vt:variant>
        <vt:i4>1179699</vt:i4>
      </vt:variant>
      <vt:variant>
        <vt:i4>80</vt:i4>
      </vt:variant>
      <vt:variant>
        <vt:i4>0</vt:i4>
      </vt:variant>
      <vt:variant>
        <vt:i4>5</vt:i4>
      </vt:variant>
      <vt:variant>
        <vt:lpwstr/>
      </vt:variant>
      <vt:variant>
        <vt:lpwstr>_Toc7643</vt:lpwstr>
      </vt:variant>
      <vt:variant>
        <vt:i4>1966131</vt:i4>
      </vt:variant>
      <vt:variant>
        <vt:i4>77</vt:i4>
      </vt:variant>
      <vt:variant>
        <vt:i4>0</vt:i4>
      </vt:variant>
      <vt:variant>
        <vt:i4>5</vt:i4>
      </vt:variant>
      <vt:variant>
        <vt:lpwstr/>
      </vt:variant>
      <vt:variant>
        <vt:lpwstr>_Toc29106</vt:lpwstr>
      </vt:variant>
      <vt:variant>
        <vt:i4>1769520</vt:i4>
      </vt:variant>
      <vt:variant>
        <vt:i4>74</vt:i4>
      </vt:variant>
      <vt:variant>
        <vt:i4>0</vt:i4>
      </vt:variant>
      <vt:variant>
        <vt:i4>5</vt:i4>
      </vt:variant>
      <vt:variant>
        <vt:lpwstr/>
      </vt:variant>
      <vt:variant>
        <vt:lpwstr>_Toc8884</vt:lpwstr>
      </vt:variant>
      <vt:variant>
        <vt:i4>1376313</vt:i4>
      </vt:variant>
      <vt:variant>
        <vt:i4>71</vt:i4>
      </vt:variant>
      <vt:variant>
        <vt:i4>0</vt:i4>
      </vt:variant>
      <vt:variant>
        <vt:i4>5</vt:i4>
      </vt:variant>
      <vt:variant>
        <vt:lpwstr/>
      </vt:variant>
      <vt:variant>
        <vt:lpwstr>_Toc14869</vt:lpwstr>
      </vt:variant>
      <vt:variant>
        <vt:i4>1507381</vt:i4>
      </vt:variant>
      <vt:variant>
        <vt:i4>68</vt:i4>
      </vt:variant>
      <vt:variant>
        <vt:i4>0</vt:i4>
      </vt:variant>
      <vt:variant>
        <vt:i4>5</vt:i4>
      </vt:variant>
      <vt:variant>
        <vt:lpwstr/>
      </vt:variant>
      <vt:variant>
        <vt:lpwstr>_Toc28786</vt:lpwstr>
      </vt:variant>
      <vt:variant>
        <vt:i4>1441847</vt:i4>
      </vt:variant>
      <vt:variant>
        <vt:i4>65</vt:i4>
      </vt:variant>
      <vt:variant>
        <vt:i4>0</vt:i4>
      </vt:variant>
      <vt:variant>
        <vt:i4>5</vt:i4>
      </vt:variant>
      <vt:variant>
        <vt:lpwstr/>
      </vt:variant>
      <vt:variant>
        <vt:lpwstr>_Toc32434</vt:lpwstr>
      </vt:variant>
      <vt:variant>
        <vt:i4>1048631</vt:i4>
      </vt:variant>
      <vt:variant>
        <vt:i4>62</vt:i4>
      </vt:variant>
      <vt:variant>
        <vt:i4>0</vt:i4>
      </vt:variant>
      <vt:variant>
        <vt:i4>5</vt:i4>
      </vt:variant>
      <vt:variant>
        <vt:lpwstr/>
      </vt:variant>
      <vt:variant>
        <vt:lpwstr>_Toc24532</vt:lpwstr>
      </vt:variant>
      <vt:variant>
        <vt:i4>1376314</vt:i4>
      </vt:variant>
      <vt:variant>
        <vt:i4>59</vt:i4>
      </vt:variant>
      <vt:variant>
        <vt:i4>0</vt:i4>
      </vt:variant>
      <vt:variant>
        <vt:i4>5</vt:i4>
      </vt:variant>
      <vt:variant>
        <vt:lpwstr/>
      </vt:variant>
      <vt:variant>
        <vt:lpwstr>_Toc2183</vt:lpwstr>
      </vt:variant>
      <vt:variant>
        <vt:i4>1900597</vt:i4>
      </vt:variant>
      <vt:variant>
        <vt:i4>56</vt:i4>
      </vt:variant>
      <vt:variant>
        <vt:i4>0</vt:i4>
      </vt:variant>
      <vt:variant>
        <vt:i4>5</vt:i4>
      </vt:variant>
      <vt:variant>
        <vt:lpwstr/>
      </vt:variant>
      <vt:variant>
        <vt:lpwstr>_Toc22784</vt:lpwstr>
      </vt:variant>
      <vt:variant>
        <vt:i4>1376310</vt:i4>
      </vt:variant>
      <vt:variant>
        <vt:i4>53</vt:i4>
      </vt:variant>
      <vt:variant>
        <vt:i4>0</vt:i4>
      </vt:variant>
      <vt:variant>
        <vt:i4>5</vt:i4>
      </vt:variant>
      <vt:variant>
        <vt:lpwstr/>
      </vt:variant>
      <vt:variant>
        <vt:lpwstr>_Toc3250</vt:lpwstr>
      </vt:variant>
      <vt:variant>
        <vt:i4>1966131</vt:i4>
      </vt:variant>
      <vt:variant>
        <vt:i4>50</vt:i4>
      </vt:variant>
      <vt:variant>
        <vt:i4>0</vt:i4>
      </vt:variant>
      <vt:variant>
        <vt:i4>5</vt:i4>
      </vt:variant>
      <vt:variant>
        <vt:lpwstr/>
      </vt:variant>
      <vt:variant>
        <vt:lpwstr>_Toc11283</vt:lpwstr>
      </vt:variant>
      <vt:variant>
        <vt:i4>1376305</vt:i4>
      </vt:variant>
      <vt:variant>
        <vt:i4>47</vt:i4>
      </vt:variant>
      <vt:variant>
        <vt:i4>0</vt:i4>
      </vt:variant>
      <vt:variant>
        <vt:i4>5</vt:i4>
      </vt:variant>
      <vt:variant>
        <vt:lpwstr/>
      </vt:variant>
      <vt:variant>
        <vt:lpwstr>_Toc8391</vt:lpwstr>
      </vt:variant>
      <vt:variant>
        <vt:i4>2424834</vt:i4>
      </vt:variant>
      <vt:variant>
        <vt:i4>44</vt:i4>
      </vt:variant>
      <vt:variant>
        <vt:i4>0</vt:i4>
      </vt:variant>
      <vt:variant>
        <vt:i4>5</vt:i4>
      </vt:variant>
      <vt:variant>
        <vt:lpwstr/>
      </vt:variant>
      <vt:variant>
        <vt:lpwstr>_Toc227</vt:lpwstr>
      </vt:variant>
      <vt:variant>
        <vt:i4>1179700</vt:i4>
      </vt:variant>
      <vt:variant>
        <vt:i4>41</vt:i4>
      </vt:variant>
      <vt:variant>
        <vt:i4>0</vt:i4>
      </vt:variant>
      <vt:variant>
        <vt:i4>5</vt:i4>
      </vt:variant>
      <vt:variant>
        <vt:lpwstr/>
      </vt:variant>
      <vt:variant>
        <vt:lpwstr>_Toc14519</vt:lpwstr>
      </vt:variant>
      <vt:variant>
        <vt:i4>1048626</vt:i4>
      </vt:variant>
      <vt:variant>
        <vt:i4>38</vt:i4>
      </vt:variant>
      <vt:variant>
        <vt:i4>0</vt:i4>
      </vt:variant>
      <vt:variant>
        <vt:i4>5</vt:i4>
      </vt:variant>
      <vt:variant>
        <vt:lpwstr/>
      </vt:variant>
      <vt:variant>
        <vt:lpwstr>_Toc1235</vt:lpwstr>
      </vt:variant>
      <vt:variant>
        <vt:i4>2031668</vt:i4>
      </vt:variant>
      <vt:variant>
        <vt:i4>35</vt:i4>
      </vt:variant>
      <vt:variant>
        <vt:i4>0</vt:i4>
      </vt:variant>
      <vt:variant>
        <vt:i4>5</vt:i4>
      </vt:variant>
      <vt:variant>
        <vt:lpwstr/>
      </vt:variant>
      <vt:variant>
        <vt:lpwstr>_Toc5810</vt:lpwstr>
      </vt:variant>
      <vt:variant>
        <vt:i4>1507383</vt:i4>
      </vt:variant>
      <vt:variant>
        <vt:i4>32</vt:i4>
      </vt:variant>
      <vt:variant>
        <vt:i4>0</vt:i4>
      </vt:variant>
      <vt:variant>
        <vt:i4>5</vt:i4>
      </vt:variant>
      <vt:variant>
        <vt:lpwstr/>
      </vt:variant>
      <vt:variant>
        <vt:lpwstr>_Toc21518</vt:lpwstr>
      </vt:variant>
      <vt:variant>
        <vt:i4>1048635</vt:i4>
      </vt:variant>
      <vt:variant>
        <vt:i4>29</vt:i4>
      </vt:variant>
      <vt:variant>
        <vt:i4>0</vt:i4>
      </vt:variant>
      <vt:variant>
        <vt:i4>5</vt:i4>
      </vt:variant>
      <vt:variant>
        <vt:lpwstr/>
      </vt:variant>
      <vt:variant>
        <vt:lpwstr>_Toc30870</vt:lpwstr>
      </vt:variant>
      <vt:variant>
        <vt:i4>1114161</vt:i4>
      </vt:variant>
      <vt:variant>
        <vt:i4>26</vt:i4>
      </vt:variant>
      <vt:variant>
        <vt:i4>0</vt:i4>
      </vt:variant>
      <vt:variant>
        <vt:i4>5</vt:i4>
      </vt:variant>
      <vt:variant>
        <vt:lpwstr/>
      </vt:variant>
      <vt:variant>
        <vt:lpwstr>_Toc20360</vt:lpwstr>
      </vt:variant>
      <vt:variant>
        <vt:i4>1507383</vt:i4>
      </vt:variant>
      <vt:variant>
        <vt:i4>23</vt:i4>
      </vt:variant>
      <vt:variant>
        <vt:i4>0</vt:i4>
      </vt:variant>
      <vt:variant>
        <vt:i4>5</vt:i4>
      </vt:variant>
      <vt:variant>
        <vt:lpwstr/>
      </vt:variant>
      <vt:variant>
        <vt:lpwstr>_Toc26564</vt:lpwstr>
      </vt:variant>
      <vt:variant>
        <vt:i4>1310771</vt:i4>
      </vt:variant>
      <vt:variant>
        <vt:i4>20</vt:i4>
      </vt:variant>
      <vt:variant>
        <vt:i4>0</vt:i4>
      </vt:variant>
      <vt:variant>
        <vt:i4>5</vt:i4>
      </vt:variant>
      <vt:variant>
        <vt:lpwstr/>
      </vt:variant>
      <vt:variant>
        <vt:lpwstr>_Toc13201</vt:lpwstr>
      </vt:variant>
      <vt:variant>
        <vt:i4>1114160</vt:i4>
      </vt:variant>
      <vt:variant>
        <vt:i4>17</vt:i4>
      </vt:variant>
      <vt:variant>
        <vt:i4>0</vt:i4>
      </vt:variant>
      <vt:variant>
        <vt:i4>5</vt:i4>
      </vt:variant>
      <vt:variant>
        <vt:lpwstr/>
      </vt:variant>
      <vt:variant>
        <vt:lpwstr>_Toc12142</vt:lpwstr>
      </vt:variant>
      <vt:variant>
        <vt:i4>1245233</vt:i4>
      </vt:variant>
      <vt:variant>
        <vt:i4>14</vt:i4>
      </vt:variant>
      <vt:variant>
        <vt:i4>0</vt:i4>
      </vt:variant>
      <vt:variant>
        <vt:i4>5</vt:i4>
      </vt:variant>
      <vt:variant>
        <vt:lpwstr/>
      </vt:variant>
      <vt:variant>
        <vt:lpwstr>_Toc25314</vt:lpwstr>
      </vt:variant>
      <vt:variant>
        <vt:i4>1638449</vt:i4>
      </vt:variant>
      <vt:variant>
        <vt:i4>11</vt:i4>
      </vt:variant>
      <vt:variant>
        <vt:i4>0</vt:i4>
      </vt:variant>
      <vt:variant>
        <vt:i4>5</vt:i4>
      </vt:variant>
      <vt:variant>
        <vt:lpwstr/>
      </vt:variant>
      <vt:variant>
        <vt:lpwstr>_Toc29374</vt:lpwstr>
      </vt:variant>
      <vt:variant>
        <vt:i4>1507383</vt:i4>
      </vt:variant>
      <vt:variant>
        <vt:i4>8</vt:i4>
      </vt:variant>
      <vt:variant>
        <vt:i4>0</vt:i4>
      </vt:variant>
      <vt:variant>
        <vt:i4>5</vt:i4>
      </vt:variant>
      <vt:variant>
        <vt:lpwstr/>
      </vt:variant>
      <vt:variant>
        <vt:lpwstr>_Toc2151</vt:lpwstr>
      </vt:variant>
      <vt:variant>
        <vt:i4>1114166</vt:i4>
      </vt:variant>
      <vt:variant>
        <vt:i4>5</vt:i4>
      </vt:variant>
      <vt:variant>
        <vt:i4>0</vt:i4>
      </vt:variant>
      <vt:variant>
        <vt:i4>5</vt:i4>
      </vt:variant>
      <vt:variant>
        <vt:lpwstr/>
      </vt:variant>
      <vt:variant>
        <vt:lpwstr>_Toc30567</vt:lpwstr>
      </vt:variant>
      <vt:variant>
        <vt:i4>1310768</vt:i4>
      </vt:variant>
      <vt:variant>
        <vt:i4>2</vt:i4>
      </vt:variant>
      <vt:variant>
        <vt:i4>0</vt:i4>
      </vt:variant>
      <vt:variant>
        <vt:i4>5</vt:i4>
      </vt:variant>
      <vt:variant>
        <vt:lpwstr/>
      </vt:variant>
      <vt:variant>
        <vt:lpwstr>_Toc32314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2020-09-08T14:04:00Z</dcterms:created>
  <dc:creator>GXR</dc:creator>
  <cp:lastModifiedBy>Wevil Dwyane</cp:lastModifiedBy>
  <dcterms:modified xsi:type="dcterms:W3CDTF">2020-09-23T11:32:00Z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