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0DAFC1" w14:textId="77777777" w:rsidR="008853A8" w:rsidRDefault="008853A8">
      <w:pPr>
        <w:rPr>
          <w:rFonts w:ascii="黑体" w:eastAsia="黑体" w:hAnsi="黑体"/>
          <w:sz w:val="32"/>
          <w:szCs w:val="32"/>
        </w:rPr>
      </w:pPr>
      <w:r>
        <w:rPr>
          <w:rFonts w:ascii="黑体" w:eastAsia="黑体" w:hAnsi="黑体" w:hint="eastAsia"/>
          <w:sz w:val="32"/>
          <w:szCs w:val="32"/>
        </w:rPr>
        <w:t>附件：</w:t>
      </w:r>
    </w:p>
    <w:p w14:paraId="611C3882" w14:textId="77777777" w:rsidR="008853A8" w:rsidRDefault="008853A8">
      <w:pPr>
        <w:jc w:val="center"/>
        <w:rPr>
          <w:rFonts w:ascii="方正小标宋_GBK" w:eastAsia="方正小标宋_GBK" w:hAnsi="宋体"/>
          <w:sz w:val="44"/>
          <w:szCs w:val="44"/>
        </w:rPr>
      </w:pPr>
    </w:p>
    <w:p w14:paraId="12B0B250" w14:textId="77777777" w:rsidR="008853A8" w:rsidRDefault="008853A8">
      <w:pPr>
        <w:jc w:val="center"/>
        <w:rPr>
          <w:rFonts w:ascii="方正小标宋_GBK" w:eastAsia="方正小标宋_GBK" w:hAnsi="宋体"/>
          <w:sz w:val="44"/>
          <w:szCs w:val="44"/>
        </w:rPr>
      </w:pPr>
    </w:p>
    <w:p w14:paraId="1FB56DCC" w14:textId="77777777" w:rsidR="008853A8" w:rsidRDefault="008853A8">
      <w:pPr>
        <w:jc w:val="center"/>
        <w:rPr>
          <w:rFonts w:ascii="方正小标宋_GBK" w:eastAsia="方正小标宋_GBK" w:hAnsi="宋体"/>
          <w:sz w:val="44"/>
          <w:szCs w:val="44"/>
        </w:rPr>
      </w:pPr>
    </w:p>
    <w:p w14:paraId="0E41F092" w14:textId="77777777" w:rsidR="008853A8" w:rsidRDefault="008853A8">
      <w:pPr>
        <w:jc w:val="center"/>
        <w:rPr>
          <w:rFonts w:ascii="方正小标宋_GBK" w:eastAsia="方正小标宋_GBK" w:hAnsi="宋体"/>
          <w:sz w:val="44"/>
          <w:szCs w:val="44"/>
        </w:rPr>
      </w:pPr>
    </w:p>
    <w:p w14:paraId="12B6D321" w14:textId="0D5360EF" w:rsidR="008853A8" w:rsidRDefault="00377EC6">
      <w:pPr>
        <w:jc w:val="center"/>
        <w:rPr>
          <w:rFonts w:ascii="方正小标宋_GBK" w:eastAsia="方正小标宋_GBK" w:hAnsi="宋体"/>
          <w:sz w:val="44"/>
          <w:szCs w:val="44"/>
        </w:rPr>
      </w:pPr>
      <w:r>
        <w:rPr>
          <w:rFonts w:ascii="方正小标宋_GBK" w:hAnsi="方正小标宋_GBK" w:cs="方正小标宋_GBK" w:eastAsia="方正小标宋_GBK"/>
          <w:sz w:val="44"/>
        </w:rPr>
        <w:t>新疆喀什综合保税区管理委员会2019年度部门决算</w:t>
      </w:r>
    </w:p>
    <w:p w14:paraId="0ACE5469" w14:textId="77777777" w:rsidR="008853A8" w:rsidRDefault="008853A8">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2888F532" w14:textId="77777777" w:rsidR="008853A8" w:rsidRDefault="008853A8">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lastRenderedPageBreak/>
        <w:t>目 录</w:t>
      </w:r>
    </w:p>
    <w:p w14:paraId="293349B8" w14:textId="77777777" w:rsidR="008853A8" w:rsidRDefault="008853A8">
      <w:pPr>
        <w:pStyle w:val="TOC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部门单位概况</w:t>
        </w:r>
      </w:hyperlink>
    </w:p>
    <w:p w14:paraId="2F9FE76B"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30567" w:history="1">
        <w:r w:rsidR="008853A8">
          <w:rPr>
            <w:rFonts w:ascii="仿宋_GB2312" w:eastAsia="仿宋_GB2312" w:hAnsi="仿宋_GB2312" w:cs="仿宋_GB2312" w:hint="eastAsia"/>
            <w:bCs/>
            <w:kern w:val="0"/>
            <w:sz w:val="32"/>
            <w:szCs w:val="32"/>
          </w:rPr>
          <w:t>一、主要职能</w:t>
        </w:r>
      </w:hyperlink>
    </w:p>
    <w:p w14:paraId="247DC9F7"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151" w:history="1">
        <w:r w:rsidR="008853A8">
          <w:rPr>
            <w:rFonts w:ascii="仿宋_GB2312" w:eastAsia="仿宋_GB2312" w:hAnsi="仿宋_GB2312" w:cs="仿宋_GB2312" w:hint="eastAsia"/>
            <w:bCs/>
            <w:kern w:val="0"/>
            <w:sz w:val="32"/>
            <w:szCs w:val="32"/>
          </w:rPr>
          <w:t>二、机构设置及人员情况</w:t>
        </w:r>
      </w:hyperlink>
    </w:p>
    <w:p w14:paraId="08B9D742" w14:textId="77777777" w:rsidR="008853A8" w:rsidRDefault="00EA656B">
      <w:pPr>
        <w:pStyle w:val="TOC1"/>
        <w:tabs>
          <w:tab w:val="right" w:pos="8306"/>
        </w:tabs>
        <w:rPr>
          <w:rFonts w:ascii="仿宋_GB2312" w:eastAsia="仿宋_GB2312" w:hAnsi="仿宋_GB2312" w:cs="仿宋_GB2312"/>
          <w:b/>
          <w:bCs/>
          <w:sz w:val="32"/>
          <w:szCs w:val="32"/>
        </w:rPr>
      </w:pPr>
      <w:hyperlink w:anchor="_Toc29374" w:history="1">
        <w:r w:rsidR="008853A8">
          <w:rPr>
            <w:rFonts w:ascii="仿宋_GB2312" w:eastAsia="仿宋_GB2312" w:hAnsi="仿宋_GB2312" w:cs="仿宋_GB2312" w:hint="eastAsia"/>
            <w:b/>
            <w:bCs/>
            <w:sz w:val="32"/>
            <w:szCs w:val="32"/>
          </w:rPr>
          <w:t>第二部分 部门决算情况说明</w:t>
        </w:r>
      </w:hyperlink>
    </w:p>
    <w:p w14:paraId="5C83C03D"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5314" w:history="1">
        <w:r w:rsidR="008853A8">
          <w:rPr>
            <w:rFonts w:ascii="仿宋_GB2312" w:eastAsia="仿宋_GB2312" w:hAnsi="仿宋_GB2312" w:cs="仿宋_GB2312" w:hint="eastAsia"/>
            <w:bCs/>
            <w:kern w:val="0"/>
            <w:sz w:val="32"/>
            <w:szCs w:val="32"/>
          </w:rPr>
          <w:t>一、收入支出决算总体情况说明</w:t>
        </w:r>
      </w:hyperlink>
    </w:p>
    <w:p w14:paraId="4572C604"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12142" w:history="1">
        <w:r w:rsidR="008853A8">
          <w:rPr>
            <w:rFonts w:ascii="仿宋_GB2312" w:eastAsia="仿宋_GB2312" w:hAnsi="仿宋_GB2312" w:cs="仿宋_GB2312" w:hint="eastAsia"/>
            <w:bCs/>
            <w:kern w:val="0"/>
            <w:sz w:val="32"/>
            <w:szCs w:val="32"/>
          </w:rPr>
          <w:t>二、收入决算情况说明</w:t>
        </w:r>
      </w:hyperlink>
    </w:p>
    <w:p w14:paraId="5F2369D5"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13201" w:history="1">
        <w:r w:rsidR="008853A8">
          <w:rPr>
            <w:rFonts w:ascii="仿宋_GB2312" w:eastAsia="仿宋_GB2312" w:hAnsi="仿宋_GB2312" w:cs="仿宋_GB2312" w:hint="eastAsia"/>
            <w:bCs/>
            <w:kern w:val="0"/>
            <w:sz w:val="32"/>
            <w:szCs w:val="32"/>
          </w:rPr>
          <w:t>三、支出决算情况说明</w:t>
        </w:r>
      </w:hyperlink>
    </w:p>
    <w:p w14:paraId="6C9FFD2C"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6564" w:history="1">
        <w:r w:rsidR="008853A8">
          <w:rPr>
            <w:rFonts w:ascii="仿宋_GB2312" w:eastAsia="仿宋_GB2312" w:hAnsi="仿宋_GB2312" w:cs="仿宋_GB2312" w:hint="eastAsia"/>
            <w:bCs/>
            <w:kern w:val="0"/>
            <w:sz w:val="32"/>
            <w:szCs w:val="32"/>
          </w:rPr>
          <w:t>四、财政拨款收入支出决算总体情况说明</w:t>
        </w:r>
      </w:hyperlink>
    </w:p>
    <w:p w14:paraId="50C0774C"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0360" w:history="1">
        <w:r w:rsidR="008853A8">
          <w:rPr>
            <w:rFonts w:ascii="仿宋_GB2312" w:eastAsia="仿宋_GB2312" w:hAnsi="仿宋_GB2312" w:cs="仿宋_GB2312" w:hint="eastAsia"/>
            <w:bCs/>
            <w:kern w:val="0"/>
            <w:sz w:val="32"/>
            <w:szCs w:val="32"/>
          </w:rPr>
          <w:t>五、一般公共预算财政拨款支出决算情况说明</w:t>
        </w:r>
      </w:hyperlink>
    </w:p>
    <w:p w14:paraId="02AD7142"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30870" w:history="1">
        <w:r w:rsidR="008853A8">
          <w:rPr>
            <w:rFonts w:ascii="仿宋_GB2312" w:eastAsia="仿宋_GB2312" w:hAnsi="仿宋_GB2312" w:cs="仿宋_GB2312" w:hint="eastAsia"/>
            <w:bCs/>
            <w:kern w:val="0"/>
            <w:sz w:val="32"/>
            <w:szCs w:val="32"/>
          </w:rPr>
          <w:t>六、一般公共预算财政拨款基本支出决算情况说明</w:t>
        </w:r>
      </w:hyperlink>
    </w:p>
    <w:p w14:paraId="52DEB1DD"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1518" w:history="1">
        <w:r w:rsidR="008853A8">
          <w:rPr>
            <w:rFonts w:ascii="仿宋_GB2312" w:eastAsia="仿宋_GB2312" w:hAnsi="仿宋_GB2312" w:cs="仿宋_GB2312" w:hint="eastAsia"/>
            <w:bCs/>
            <w:kern w:val="0"/>
            <w:sz w:val="32"/>
            <w:szCs w:val="32"/>
          </w:rPr>
          <w:t>七、一般公共预算财政拨款“三公”经费支出决算情况说明</w:t>
        </w:r>
      </w:hyperlink>
    </w:p>
    <w:p w14:paraId="445A50AA"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5810" w:history="1">
        <w:r w:rsidR="008853A8">
          <w:rPr>
            <w:rFonts w:ascii="仿宋_GB2312" w:eastAsia="仿宋_GB2312" w:hAnsi="仿宋_GB2312" w:cs="仿宋_GB2312" w:hint="eastAsia"/>
            <w:bCs/>
            <w:kern w:val="0"/>
            <w:sz w:val="32"/>
            <w:szCs w:val="32"/>
          </w:rPr>
          <w:t>八、政府性基金预算收入支出决算情况说明</w:t>
        </w:r>
      </w:hyperlink>
    </w:p>
    <w:p w14:paraId="57D57162"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1235" w:history="1">
        <w:r w:rsidR="008853A8">
          <w:rPr>
            <w:rFonts w:ascii="仿宋_GB2312" w:eastAsia="仿宋_GB2312" w:hAnsi="仿宋_GB2312" w:cs="仿宋_GB2312" w:hint="eastAsia"/>
            <w:bCs/>
            <w:kern w:val="0"/>
            <w:sz w:val="32"/>
            <w:szCs w:val="32"/>
          </w:rPr>
          <w:t>九、其他重要事项的情况说明</w:t>
        </w:r>
      </w:hyperlink>
    </w:p>
    <w:p w14:paraId="326B9E76" w14:textId="77777777" w:rsidR="008853A8" w:rsidRDefault="00EA656B">
      <w:pPr>
        <w:pStyle w:val="TOC3"/>
        <w:tabs>
          <w:tab w:val="right" w:pos="8306"/>
        </w:tabs>
        <w:ind w:leftChars="0" w:left="0"/>
        <w:rPr>
          <w:rFonts w:ascii="仿宋_GB2312" w:eastAsia="仿宋_GB2312" w:hAnsi="仿宋_GB2312" w:cs="仿宋_GB2312"/>
          <w:sz w:val="32"/>
          <w:szCs w:val="32"/>
        </w:rPr>
      </w:pPr>
      <w:hyperlink w:anchor="_Toc14519" w:history="1">
        <w:r w:rsidR="008853A8">
          <w:rPr>
            <w:rFonts w:ascii="仿宋_GB2312" w:eastAsia="仿宋_GB2312" w:hAnsi="仿宋_GB2312" w:cs="仿宋_GB2312" w:hint="eastAsia"/>
            <w:sz w:val="32"/>
            <w:szCs w:val="32"/>
          </w:rPr>
          <w:t>（一）机关运行经费支出情况</w:t>
        </w:r>
      </w:hyperlink>
    </w:p>
    <w:p w14:paraId="65AAD0E2" w14:textId="77777777" w:rsidR="008853A8" w:rsidRDefault="00EA656B">
      <w:pPr>
        <w:pStyle w:val="TOC3"/>
        <w:tabs>
          <w:tab w:val="right" w:pos="8306"/>
        </w:tabs>
        <w:ind w:leftChars="0" w:left="0"/>
        <w:rPr>
          <w:rFonts w:ascii="仿宋_GB2312" w:eastAsia="仿宋_GB2312" w:hAnsi="仿宋_GB2312" w:cs="仿宋_GB2312"/>
          <w:sz w:val="32"/>
          <w:szCs w:val="32"/>
        </w:rPr>
      </w:pPr>
      <w:hyperlink w:anchor="_Toc227" w:history="1">
        <w:r w:rsidR="008853A8">
          <w:rPr>
            <w:rFonts w:ascii="仿宋_GB2312" w:eastAsia="仿宋_GB2312" w:hAnsi="仿宋_GB2312" w:cs="仿宋_GB2312" w:hint="eastAsia"/>
            <w:sz w:val="32"/>
            <w:szCs w:val="32"/>
          </w:rPr>
          <w:t>（二）政府采购情况</w:t>
        </w:r>
      </w:hyperlink>
    </w:p>
    <w:p w14:paraId="651C5AE5" w14:textId="77777777" w:rsidR="008853A8" w:rsidRDefault="00EA656B">
      <w:pPr>
        <w:pStyle w:val="TOC3"/>
        <w:tabs>
          <w:tab w:val="right" w:pos="8306"/>
        </w:tabs>
        <w:ind w:leftChars="0" w:left="0"/>
        <w:rPr>
          <w:rFonts w:ascii="仿宋_GB2312" w:eastAsia="仿宋_GB2312" w:hAnsi="仿宋_GB2312" w:cs="仿宋_GB2312"/>
          <w:sz w:val="32"/>
          <w:szCs w:val="32"/>
        </w:rPr>
      </w:pPr>
      <w:hyperlink w:anchor="_Toc8391" w:history="1">
        <w:r w:rsidR="008853A8">
          <w:rPr>
            <w:rFonts w:ascii="仿宋_GB2312" w:eastAsia="仿宋_GB2312" w:hAnsi="仿宋_GB2312" w:cs="仿宋_GB2312" w:hint="eastAsia"/>
            <w:sz w:val="32"/>
            <w:szCs w:val="32"/>
          </w:rPr>
          <w:t>（三）国有资产占用情况说明</w:t>
        </w:r>
      </w:hyperlink>
    </w:p>
    <w:p w14:paraId="0BD7F982"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11283" w:history="1">
        <w:r w:rsidR="008853A8">
          <w:rPr>
            <w:rFonts w:ascii="仿宋_GB2312" w:eastAsia="仿宋_GB2312" w:hAnsi="仿宋_GB2312" w:cs="仿宋_GB2312" w:hint="eastAsia"/>
            <w:bCs/>
            <w:kern w:val="0"/>
            <w:sz w:val="32"/>
            <w:szCs w:val="32"/>
          </w:rPr>
          <w:t>十、预算绩效的情况说明</w:t>
        </w:r>
      </w:hyperlink>
    </w:p>
    <w:p w14:paraId="778B9C6E" w14:textId="77777777" w:rsidR="008853A8" w:rsidRDefault="00EA656B">
      <w:pPr>
        <w:pStyle w:val="TOC1"/>
        <w:tabs>
          <w:tab w:val="right" w:pos="8306"/>
        </w:tabs>
        <w:rPr>
          <w:rFonts w:ascii="仿宋_GB2312" w:eastAsia="仿宋_GB2312" w:hAnsi="仿宋_GB2312" w:cs="仿宋_GB2312"/>
          <w:b/>
          <w:bCs/>
          <w:sz w:val="32"/>
          <w:szCs w:val="32"/>
        </w:rPr>
      </w:pPr>
      <w:hyperlink w:anchor="_Toc3250" w:history="1">
        <w:r w:rsidR="008853A8">
          <w:rPr>
            <w:rFonts w:ascii="仿宋_GB2312" w:eastAsia="仿宋_GB2312" w:hAnsi="仿宋_GB2312" w:cs="仿宋_GB2312" w:hint="eastAsia"/>
            <w:b/>
            <w:bCs/>
            <w:sz w:val="32"/>
            <w:szCs w:val="32"/>
          </w:rPr>
          <w:t>第三部分 专业名词解释</w:t>
        </w:r>
      </w:hyperlink>
    </w:p>
    <w:p w14:paraId="41FD2E9B" w14:textId="77777777" w:rsidR="008853A8" w:rsidRDefault="00EA656B">
      <w:pPr>
        <w:pStyle w:val="TOC1"/>
        <w:tabs>
          <w:tab w:val="right" w:pos="8306"/>
        </w:tabs>
        <w:rPr>
          <w:rFonts w:ascii="仿宋_GB2312" w:eastAsia="仿宋_GB2312" w:hAnsi="仿宋_GB2312" w:cs="仿宋_GB2312"/>
          <w:b/>
          <w:bCs/>
          <w:sz w:val="32"/>
          <w:szCs w:val="32"/>
        </w:rPr>
      </w:pPr>
      <w:hyperlink w:anchor="_Toc22784" w:history="1">
        <w:r w:rsidR="008853A8">
          <w:rPr>
            <w:rFonts w:ascii="仿宋_GB2312" w:eastAsia="仿宋_GB2312" w:hAnsi="仿宋_GB2312" w:cs="仿宋_GB2312" w:hint="eastAsia"/>
            <w:b/>
            <w:bCs/>
            <w:sz w:val="32"/>
            <w:szCs w:val="32"/>
          </w:rPr>
          <w:t>第四部分 部门决算报表（见附表）</w:t>
        </w:r>
      </w:hyperlink>
    </w:p>
    <w:p w14:paraId="28F1D9E2"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183" w:history="1">
        <w:r w:rsidR="008853A8">
          <w:rPr>
            <w:rFonts w:ascii="仿宋_GB2312" w:eastAsia="仿宋_GB2312" w:hAnsi="仿宋_GB2312" w:cs="仿宋_GB2312" w:hint="eastAsia"/>
            <w:bCs/>
            <w:kern w:val="0"/>
            <w:sz w:val="32"/>
            <w:szCs w:val="32"/>
          </w:rPr>
          <w:t>一、《收入支出决算总表》</w:t>
        </w:r>
      </w:hyperlink>
    </w:p>
    <w:p w14:paraId="61408A51"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4532" w:history="1">
        <w:r w:rsidR="008853A8">
          <w:rPr>
            <w:rFonts w:ascii="仿宋_GB2312" w:eastAsia="仿宋_GB2312" w:hAnsi="仿宋_GB2312" w:cs="仿宋_GB2312" w:hint="eastAsia"/>
            <w:bCs/>
            <w:kern w:val="0"/>
            <w:sz w:val="32"/>
            <w:szCs w:val="32"/>
          </w:rPr>
          <w:t>二、《收入决算表》</w:t>
        </w:r>
      </w:hyperlink>
    </w:p>
    <w:p w14:paraId="04072FC1"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32434" w:history="1">
        <w:r w:rsidR="008853A8">
          <w:rPr>
            <w:rFonts w:ascii="仿宋_GB2312" w:eastAsia="仿宋_GB2312" w:hAnsi="仿宋_GB2312" w:cs="仿宋_GB2312" w:hint="eastAsia"/>
            <w:bCs/>
            <w:kern w:val="0"/>
            <w:sz w:val="32"/>
            <w:szCs w:val="32"/>
          </w:rPr>
          <w:t>三、《支出决算表》</w:t>
        </w:r>
      </w:hyperlink>
    </w:p>
    <w:p w14:paraId="22BFA8ED"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8786" w:history="1">
        <w:r w:rsidR="008853A8">
          <w:rPr>
            <w:rFonts w:ascii="仿宋_GB2312" w:eastAsia="仿宋_GB2312" w:hAnsi="仿宋_GB2312" w:cs="仿宋_GB2312" w:hint="eastAsia"/>
            <w:bCs/>
            <w:kern w:val="0"/>
            <w:sz w:val="32"/>
            <w:szCs w:val="32"/>
          </w:rPr>
          <w:t>四、《财政拨款收入支出决算总表》</w:t>
        </w:r>
      </w:hyperlink>
    </w:p>
    <w:p w14:paraId="2DC04D36"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14869" w:history="1">
        <w:r w:rsidR="008853A8">
          <w:rPr>
            <w:rFonts w:ascii="仿宋_GB2312" w:eastAsia="仿宋_GB2312" w:hAnsi="仿宋_GB2312" w:cs="仿宋_GB2312" w:hint="eastAsia"/>
            <w:bCs/>
            <w:kern w:val="0"/>
            <w:sz w:val="32"/>
            <w:szCs w:val="32"/>
          </w:rPr>
          <w:t>五、《一般公共预算财政拨款支出决算表》</w:t>
        </w:r>
      </w:hyperlink>
    </w:p>
    <w:p w14:paraId="455EE489"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8884" w:history="1">
        <w:r w:rsidR="008853A8">
          <w:rPr>
            <w:rFonts w:ascii="仿宋_GB2312" w:eastAsia="仿宋_GB2312" w:hAnsi="仿宋_GB2312" w:cs="仿宋_GB2312" w:hint="eastAsia"/>
            <w:bCs/>
            <w:kern w:val="0"/>
            <w:sz w:val="32"/>
            <w:szCs w:val="32"/>
          </w:rPr>
          <w:t>六、《一般公共预算财政拨款基本支出决算表》</w:t>
        </w:r>
      </w:hyperlink>
    </w:p>
    <w:p w14:paraId="64724664"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29106" w:history="1">
        <w:r w:rsidR="008853A8">
          <w:rPr>
            <w:rFonts w:ascii="仿宋_GB2312" w:eastAsia="仿宋_GB2312" w:hAnsi="仿宋_GB2312" w:cs="仿宋_GB2312" w:hint="eastAsia"/>
            <w:bCs/>
            <w:kern w:val="0"/>
            <w:sz w:val="32"/>
            <w:szCs w:val="32"/>
          </w:rPr>
          <w:t>七、《一般公共预算财政拨款“三公”经费支出决算表》</w:t>
        </w:r>
      </w:hyperlink>
    </w:p>
    <w:p w14:paraId="0F035661" w14:textId="77777777" w:rsidR="008853A8" w:rsidRDefault="00EA656B">
      <w:pPr>
        <w:pStyle w:val="TOC2"/>
        <w:tabs>
          <w:tab w:val="right" w:pos="8306"/>
        </w:tabs>
        <w:ind w:leftChars="0" w:left="0"/>
        <w:rPr>
          <w:rFonts w:ascii="仿宋_GB2312" w:eastAsia="仿宋_GB2312" w:hAnsi="仿宋_GB2312" w:cs="仿宋_GB2312"/>
          <w:sz w:val="32"/>
          <w:szCs w:val="32"/>
        </w:rPr>
      </w:pPr>
      <w:hyperlink w:anchor="_Toc7643" w:history="1">
        <w:r w:rsidR="008853A8">
          <w:rPr>
            <w:rFonts w:ascii="仿宋_GB2312" w:eastAsia="仿宋_GB2312" w:hAnsi="仿宋_GB2312" w:cs="仿宋_GB2312" w:hint="eastAsia"/>
            <w:bCs/>
            <w:kern w:val="0"/>
            <w:sz w:val="32"/>
            <w:szCs w:val="32"/>
          </w:rPr>
          <w:t>八、《政府性基金预算财政拨款收入支出决算表》</w:t>
        </w:r>
      </w:hyperlink>
    </w:p>
    <w:p w14:paraId="0E1577DF" w14:textId="77777777" w:rsidR="008853A8" w:rsidRDefault="008853A8">
      <w:r>
        <w:rPr>
          <w:rFonts w:ascii="仿宋_GB2312" w:eastAsia="仿宋_GB2312" w:hAnsi="仿宋_GB2312" w:cs="仿宋_GB2312" w:hint="eastAsia"/>
          <w:sz w:val="32"/>
          <w:szCs w:val="32"/>
        </w:rPr>
        <w:fldChar w:fldCharType="end"/>
      </w:r>
    </w:p>
    <w:p w14:paraId="68A45511" w14:textId="77777777" w:rsidR="008853A8" w:rsidRDefault="008853A8">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24028"/>
      <w:bookmarkStart w:id="1" w:name="_Toc32314"/>
      <w:r>
        <w:rPr>
          <w:rFonts w:ascii="黑体" w:eastAsia="黑体" w:hAnsi="黑体" w:hint="eastAsia"/>
          <w:sz w:val="32"/>
          <w:szCs w:val="32"/>
        </w:rPr>
        <w:lastRenderedPageBreak/>
        <w:t>第一部分 部门单位概况</w:t>
      </w:r>
      <w:bookmarkEnd w:id="0"/>
      <w:bookmarkEnd w:id="1"/>
    </w:p>
    <w:p w14:paraId="036049B7" w14:textId="77777777" w:rsidR="008853A8" w:rsidRDefault="008853A8">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pPr>
        <w:ind w:firstLine="480"/>
        <w:jc w:val="both"/>
      </w:pPr>
      <w:r>
        <w:rPr>
          <w:rFonts w:ascii="仿宋_GB2312" w:hAnsi="仿宋_GB2312" w:cs="仿宋_GB2312" w:eastAsia="仿宋_GB2312"/>
          <w:b w:val="false"/>
          <w:sz w:val="32"/>
        </w:rPr>
        <w:t>喀什综合保税区主要职能为组织编制综合保税区发展规划、建设规划草案并组织实施；制订综合保税区各项具体规定、按照规定的权限、负责综合保税区内有关规定、建设、管理、运营等各项事宜。</w:t>
      </w:r>
    </w:p>
    <w:p w14:paraId="22BD2715" w14:textId="3A98898C" w:rsidR="008853A8" w:rsidRDefault="008853A8">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8E18313" w14:textId="72E3148E" w:rsidR="001F777A" w:rsidRPr="001F777A" w:rsidRDefault="001F777A" w:rsidP="001F777A">
      <w:pPr>
        <w:ind w:firstLineChars="200" w:firstLine="640"/>
      </w:pPr>
      <w:r>
        <w:rPr>
          <w:rFonts w:ascii="仿宋_GB2312" w:hAnsi="仿宋_GB2312" w:cs="仿宋_GB2312" w:eastAsia="仿宋_GB2312"/>
          <w:sz w:val="32"/>
        </w:rPr>
        <w:t>新疆喀什综合保税区管理委员会2019年度，实有人数9人，其中：在职人员9人，离休人员0人，退休人员0人。</w:t>
      </w:r>
    </w:p>
    <w:p w14:paraId="65B8FE61" w14:textId="77777777" w:rsidR="00862395" w:rsidRDefault="00862395" w:rsidP="00862395">
      <w:pPr>
        <w:ind w:firstLineChars="200" w:firstLine="640"/>
        <w:rPr>
          <w:rFonts w:ascii="仿宋_GB2312" w:eastAsia="仿宋_GB2312"/>
          <w:sz w:val="32"/>
          <w:szCs w:val="32"/>
        </w:rPr>
      </w:pPr>
      <w:r>
        <w:rPr>
          <w:rFonts w:ascii="仿宋_GB2312" w:hAnsi="仿宋_GB2312" w:cs="仿宋_GB2312" w:eastAsia="仿宋_GB2312"/>
          <w:sz w:val="32"/>
        </w:rPr>
        <w:t>从部门决算单位构成看，新疆喀什综合保税区管理委员会部门决算包括：新疆喀什综合保税区管理委员会决算。</w:t>
      </w:r>
    </w:p>
    <w:p w14:paraId="2C581B27" w14:textId="77777777" w:rsidR="008853A8" w:rsidRDefault="008853A8">
      <w:pPr>
        <w:ind w:firstLineChars="200" w:firstLine="640"/>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t>第二部分 部门决算情况说明</w:t>
      </w:r>
      <w:bookmarkEnd w:id="6"/>
      <w:bookmarkEnd w:id="7"/>
    </w:p>
    <w:p w14:paraId="4B167492" w14:textId="77777777" w:rsidR="008853A8" w:rsidRDefault="008853A8">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782D0DE" w14:textId="3E55FEDD" w:rsidR="008853A8" w:rsidRDefault="007E3BFD">
      <w:pPr>
        <w:ind w:firstLineChars="200" w:firstLine="640"/>
        <w:rPr>
          <w:rFonts w:ascii="仿宋_GB2312" w:eastAsia="仿宋_GB2312"/>
          <w:sz w:val="32"/>
          <w:szCs w:val="32"/>
        </w:rPr>
      </w:pPr>
      <w:r>
        <w:rPr>
          <w:rFonts w:ascii="仿宋_GB2312" w:hAnsi="仿宋_GB2312" w:cs="仿宋_GB2312" w:eastAsia="仿宋_GB2312"/>
          <w:sz w:val="32"/>
        </w:rPr>
        <w:t>2019年度本年收入270.19万元，与上年相比，减少6,906.50万元，下降96.24%，主要原因是：上年财政拨付国际航空货运区建设专项资金、加工贸易梯度转移专项资金、边境贸易转移支付专项资金5560万元以及相关工作经费470万元，而本年财政没有拨付同类资金。本年支出567.14万元，与上年相比，减少1,188.02万元，下降67.69%，主要原因是：上年安排海关国检包干经费200万元，以及边境贸易转移支付和国际贸易货运区建设专项资金等，而本年同类支出安排较少。</w:t>
      </w:r>
    </w:p>
    <w:p w14:paraId="3093A798" w14:textId="77777777" w:rsidR="008853A8" w:rsidRDefault="008853A8">
      <w:pPr>
        <w:ind w:firstLineChars="200" w:firstLine="640"/>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B914EFB" w14:textId="75DF8F00" w:rsidR="008853A8" w:rsidRDefault="00125A6F">
      <w:pPr>
        <w:ind w:firstLineChars="200" w:firstLine="640"/>
        <w:rPr>
          <w:rFonts w:ascii="仿宋_GB2312" w:eastAsia="仿宋_GB2312"/>
          <w:sz w:val="32"/>
          <w:szCs w:val="32"/>
        </w:rPr>
      </w:pPr>
      <w:r>
        <w:rPr>
          <w:rFonts w:ascii="仿宋_GB2312" w:hAnsi="仿宋_GB2312" w:cs="仿宋_GB2312" w:eastAsia="仿宋_GB2312"/>
          <w:sz w:val="32"/>
        </w:rPr>
        <w:t>2019年度本年收入270.19万元，其中：财政拨款收入155.72万元，占57.63%；上级补助收入0万元，占0%；事业收入0万元，占0%；经营收入0万元，占0%；附属单位上缴收入0万元，占0%；其他收入114.47万元，占42.37%。</w:t>
      </w:r>
    </w:p>
    <w:p w14:paraId="008FC815" w14:textId="77777777" w:rsidR="008853A8" w:rsidRDefault="008853A8">
      <w:pPr>
        <w:ind w:firstLineChars="200" w:firstLine="640"/>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6FB7964" w14:textId="23D4D7B7" w:rsidR="008853A8" w:rsidRDefault="00233021">
      <w:pPr>
        <w:ind w:firstLineChars="200" w:firstLine="640"/>
        <w:rPr>
          <w:rFonts w:ascii="仿宋_GB2312" w:eastAsia="仿宋_GB2312"/>
          <w:sz w:val="32"/>
          <w:szCs w:val="32"/>
        </w:rPr>
      </w:pPr>
      <w:r>
        <w:rPr>
          <w:rFonts w:ascii="仿宋_GB2312" w:hAnsi="仿宋_GB2312" w:cs="仿宋_GB2312" w:eastAsia="仿宋_GB2312"/>
          <w:sz w:val="32"/>
        </w:rPr>
        <w:t>2019年度本年支出567.14万元，其中：基本支出127.60万元，占22.5%；项目支出439.55万元，占77.5%；上缴上级支出0万元，占0%；经营支出0万元，占0%；对附属单位补助支出0万元，占0%。</w:t>
      </w:r>
    </w:p>
    <w:p w14:paraId="186CA7CE" w14:textId="77777777" w:rsidR="008853A8" w:rsidRDefault="008853A8">
      <w:pPr>
        <w:ind w:firstLineChars="200" w:firstLine="640"/>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1B6E4AD7" w14:textId="100B88EF" w:rsidR="008853A8" w:rsidRPr="001848EE" w:rsidRDefault="001C2D35">
      <w:pPr>
        <w:ind w:firstLineChars="200" w:firstLine="640"/>
        <w:rPr>
          <w:rFonts w:ascii="仿宋_GB2312" w:eastAsia="仿宋_GB2312"/>
          <w:sz w:val="32"/>
          <w:szCs w:val="32"/>
        </w:rPr>
      </w:pPr>
      <w:r>
        <w:rPr>
          <w:rFonts w:ascii="仿宋_GB2312" w:hAnsi="仿宋_GB2312" w:cs="仿宋_GB2312" w:eastAsia="仿宋_GB2312"/>
          <w:sz w:val="32"/>
        </w:rPr>
        <w:t>2019年度财政拨款收入155.72万元，与上年相比，减少6,047.82万元，下降97.49%，主要原因是：上年财政拨付国际航空货运区建设专项资金、加工贸易梯度转移专项资金、边境贸易转移支付专项资金5560万元以及相关工作经费470万元，而本年财政没有拨付同类资金。财政拨款支出494.54万元，与上年相比，减少325.30万元，下降39.68%，主要原因是：上年安排海关国检包干经费200万元，以及边境贸易转移支付和国际贸易货运区建设专项资金等，而本年同类支出安排较少。</w:t>
      </w:r>
    </w:p>
    <w:p w14:paraId="7139D063" w14:textId="11D128B6"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财政拨款收入年初预算数5,613.95万元，决算数155.72万元，预决算差异率-97.23%，主要原因是：年初预算编制的项目大部分未执行或执行进度缓慢。财政拨款支出年初预算数10,907.80万元，决算数494.54万元，预决算差异率-95.47%，主要原因是：年初预算编制的项目大部分未执行或执行进度缓慢。</w:t>
      </w:r>
    </w:p>
    <w:p w14:paraId="51FC69F3" w14:textId="77777777" w:rsidR="008853A8" w:rsidRDefault="008853A8">
      <w:pPr>
        <w:ind w:firstLineChars="200" w:firstLine="640"/>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B797ACC" w14:textId="2DDC565C" w:rsidR="008853A8" w:rsidRDefault="005529D0">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2019年度一般公共预算财政拨款支出494.54万元。按功能分类科目项级科目公开，其中：</w:t>
      </w:r>
    </w:p>
    <w:p>
      <w:pPr>
        <w:ind w:firstLine="480"/>
        <w:jc w:val="both"/>
      </w:pPr>
      <w:r>
        <w:rPr>
          <w:rFonts w:ascii="仿宋_GB2312" w:hAnsi="仿宋_GB2312" w:cs="仿宋_GB2312" w:eastAsia="仿宋_GB2312"/>
          <w:b w:val="false"/>
          <w:sz w:val="32"/>
        </w:rPr>
        <w:t xml:space="preserve">   2010901行政运行支出108.90万元；</w:t>
      </w:r>
    </w:p>
    <w:p>
      <w:pPr>
        <w:ind w:firstLine="480"/>
        <w:jc w:val="both"/>
      </w:pPr>
      <w:r>
        <w:rPr>
          <w:rFonts w:ascii="仿宋_GB2312" w:hAnsi="仿宋_GB2312" w:cs="仿宋_GB2312" w:eastAsia="仿宋_GB2312"/>
          <w:b w:val="false"/>
          <w:sz w:val="32"/>
        </w:rPr>
        <w:t xml:space="preserve">   2010999其他海关事务支出88.10万元；</w:t>
      </w:r>
    </w:p>
    <w:p>
      <w:pPr>
        <w:ind w:firstLine="480"/>
        <w:jc w:val="both"/>
      </w:pPr>
      <w:r>
        <w:rPr>
          <w:rFonts w:ascii="仿宋_GB2312" w:hAnsi="仿宋_GB2312" w:cs="仿宋_GB2312" w:eastAsia="仿宋_GB2312"/>
          <w:b w:val="false"/>
          <w:sz w:val="32"/>
        </w:rPr>
        <w:t xml:space="preserve">   2013299其他组织事务支出1.44万元；</w:t>
      </w:r>
    </w:p>
    <w:p>
      <w:pPr>
        <w:ind w:firstLine="480"/>
        <w:jc w:val="both"/>
      </w:pPr>
      <w:r>
        <w:rPr>
          <w:rFonts w:ascii="仿宋_GB2312" w:hAnsi="仿宋_GB2312" w:cs="仿宋_GB2312" w:eastAsia="仿宋_GB2312"/>
          <w:b w:val="false"/>
          <w:sz w:val="32"/>
        </w:rPr>
        <w:t xml:space="preserve">   2080505机关事业单位基本养老保险缴费支出10.55万元；</w:t>
      </w:r>
    </w:p>
    <w:p>
      <w:pPr>
        <w:ind w:firstLine="480"/>
        <w:jc w:val="both"/>
      </w:pPr>
      <w:r>
        <w:rPr>
          <w:rFonts w:ascii="仿宋_GB2312" w:hAnsi="仿宋_GB2312" w:cs="仿宋_GB2312" w:eastAsia="仿宋_GB2312"/>
          <w:b w:val="false"/>
          <w:sz w:val="32"/>
        </w:rPr>
        <w:t xml:space="preserve">   2140304机场建设支出47.71万元；</w:t>
      </w:r>
    </w:p>
    <w:p>
      <w:pPr>
        <w:ind w:firstLine="480"/>
        <w:jc w:val="both"/>
      </w:pPr>
      <w:r>
        <w:rPr>
          <w:rFonts w:ascii="仿宋_GB2312" w:hAnsi="仿宋_GB2312" w:cs="仿宋_GB2312" w:eastAsia="仿宋_GB2312"/>
          <w:b w:val="false"/>
          <w:sz w:val="32"/>
        </w:rPr>
        <w:t xml:space="preserve">   2160699其他涉外发展服务支出228.98万元；</w:t>
      </w:r>
    </w:p>
    <w:p>
      <w:pPr>
        <w:ind w:firstLine="480"/>
        <w:jc w:val="both"/>
      </w:pPr>
      <w:r>
        <w:rPr>
          <w:rFonts w:ascii="仿宋_GB2312" w:hAnsi="仿宋_GB2312" w:cs="仿宋_GB2312" w:eastAsia="仿宋_GB2312"/>
          <w:b w:val="false"/>
          <w:sz w:val="32"/>
        </w:rPr>
        <w:t xml:space="preserve">   2210201住房公积金支出8.14万元；</w:t>
      </w:r>
    </w:p>
    <w:p>
      <w:pPr>
        <w:ind w:firstLine="480"/>
        <w:jc w:val="both"/>
      </w:pPr>
      <w:r>
        <w:rPr>
          <w:rFonts w:ascii="仿宋_GB2312" w:hAnsi="仿宋_GB2312" w:cs="仿宋_GB2312" w:eastAsia="仿宋_GB2312"/>
          <w:b w:val="false"/>
          <w:sz w:val="32"/>
        </w:rPr>
        <w:t xml:space="preserve">   2299901其他支出0.72万元。</w:t>
      </w:r>
    </w:p>
    <w:p w14:paraId="049DFBB4" w14:textId="77777777" w:rsidR="008853A8" w:rsidRDefault="008853A8">
      <w:pPr>
        <w:ind w:firstLineChars="200" w:firstLine="640"/>
        <w:outlineLvl w:val="1"/>
        <w:rPr>
          <w:rFonts w:ascii="黑体" w:eastAsia="黑体" w:hAnsi="黑体" w:cs="宋体"/>
          <w:bCs/>
          <w:kern w:val="0"/>
          <w:sz w:val="32"/>
          <w:szCs w:val="32"/>
        </w:rPr>
      </w:pPr>
      <w:bookmarkStart w:id="18" w:name="_Toc11146"/>
      <w:bookmarkStart w:id="19" w:name="_Toc30870"/>
      <w:r>
        <w:rPr>
          <w:rFonts w:ascii="黑体" w:eastAsia="黑体" w:hAnsi="黑体" w:cs="宋体" w:hint="eastAsia"/>
          <w:bCs/>
          <w:kern w:val="0"/>
          <w:sz w:val="32"/>
          <w:szCs w:val="32"/>
        </w:rPr>
        <w:t>六、一般公共预算财政拨款基本支出决算情况说明</w:t>
      </w:r>
      <w:bookmarkEnd w:id="18"/>
      <w:bookmarkEnd w:id="19"/>
    </w:p>
    <w:p w14:paraId="3BCDD0A1" w14:textId="25AC9A26" w:rsidR="008853A8" w:rsidRDefault="005B1DE6">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2019年度一般公共预算财政拨款基本支出127.60万元，其中：</w:t>
      </w:r>
    </w:p>
    <w:p w14:paraId="61C978B8" w14:textId="68C70B32"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人员经费118.69万元，包括：基本工资、津贴补贴、奖金、机关事业单位基本养老保险缴费、职工基本医疗保险缴费、公务员医疗补助缴费、其他社会保障缴费、住房公积金、其他工资福利支出、奖励金。</w:t>
      </w:r>
    </w:p>
    <w:p w14:paraId="09290895" w14:textId="4CFD8C08"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公用经费8.90万元，包括：办公费、差旅费。</w:t>
      </w:r>
    </w:p>
    <w:p w14:paraId="1F5CEF98" w14:textId="77777777" w:rsidR="008853A8" w:rsidRDefault="008853A8">
      <w:pPr>
        <w:ind w:firstLineChars="200" w:firstLine="640"/>
        <w:outlineLvl w:val="1"/>
        <w:rPr>
          <w:rFonts w:ascii="黑体" w:eastAsia="黑体" w:hAnsi="黑体" w:cs="宋体"/>
          <w:bCs/>
          <w:kern w:val="0"/>
          <w:sz w:val="32"/>
          <w:szCs w:val="32"/>
        </w:rPr>
      </w:pPr>
      <w:bookmarkStart w:id="20" w:name="_Toc7190"/>
      <w:bookmarkStart w:id="21" w:name="_Toc21518"/>
      <w:r>
        <w:rPr>
          <w:rFonts w:ascii="黑体" w:eastAsia="黑体" w:hAnsi="黑体" w:cs="宋体" w:hint="eastAsia"/>
          <w:bCs/>
          <w:kern w:val="0"/>
          <w:sz w:val="32"/>
          <w:szCs w:val="32"/>
        </w:rPr>
        <w:t>七、一般公共预算财政拨款“三公”经费支出决算情况说明</w:t>
      </w:r>
      <w:bookmarkEnd w:id="20"/>
      <w:bookmarkEnd w:id="21"/>
    </w:p>
    <w:p w14:paraId="4B605590" w14:textId="2ECB7DD7" w:rsidR="008853A8" w:rsidRDefault="00340AE7">
      <w:pPr>
        <w:ind w:firstLineChars="200" w:firstLine="640"/>
        <w:rPr>
          <w:rFonts w:ascii="仿宋_GB2312" w:eastAsia="仿宋_GB2312"/>
          <w:sz w:val="32"/>
          <w:szCs w:val="32"/>
        </w:rPr>
      </w:pPr>
      <w:r>
        <w:rPr>
          <w:rFonts w:ascii="仿宋_GB2312" w:hAnsi="仿宋_GB2312" w:cs="仿宋_GB2312" w:eastAsia="仿宋_GB2312"/>
          <w:sz w:val="32"/>
        </w:rPr>
        <w:t>2019年度一般公共预算“三公”经费支出决算0万元，比上年减少0.36万元，降低100%，主要原因是未发生公务用车经费。其中，因公出国（境）费支出0万元，占0%，比上年增加0万元，增长0%，主要原因是综合保税区无因公出国；公务用车购置及运行维护费支出0万元，占0%，比上年增加0万元，增长0%，主要原因是车辆归党政办统一管理，故公务用车购置和运行维护费无；公务接待费支出0万元，占0%，比上年减少0.36万元，降低100%，主要原因是经费管控严格，费用下降。具体情况如下：</w:t>
      </w:r>
    </w:p>
    <w:p w14:paraId="49BF49C2" w14:textId="3BDB51C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因公出国（境）费支出0万元，开支内容包括：无出国（境）费用支出。单位全年安排的因公出国（境）团组0个，因公出国（境）0人次。</w:t>
      </w:r>
    </w:p>
    <w:p w14:paraId="4A7D6627" w14:textId="2636864C"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公务用车购置及运行维护费0万元，其中，公务用车购置费0万元，公务用车运行维护费0万元。公务用车运行维护费开支内容包括无公务用车购置费用支出。公务用车购置数0辆，公务用车保有量0辆。</w:t>
      </w:r>
    </w:p>
    <w:p w14:paraId="47C4B55E" w14:textId="65759774"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公务接待费0万元，开支内容包括无公务接待费用支出。单位全年安排的国内公务接待0批次，0人次。</w:t>
      </w:r>
    </w:p>
    <w:p w14:paraId="606EB0C3" w14:textId="1E9AC7CE"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一般公共预算“三公”经费支出年初预算数0万元，决算数0万元，预决算差异率0%，主要原因是：无预算，无支出。其中：因公出国（境）费预算数0万元，决算数0万元，预决算差异率0%，主要原因是：无预算，无支出；公务用车购置费预算数0万元，决算数0万元，预决算差异率0%，主要原因是：无预算，无支出；公务用车运行费预算数0万元，决算数0万元，预决算差异率0%，主要原因是：无预算，无支出；公务接待费预算数0万元，决算数0万元，预决算差异率0%，主要原因是：无预算，无支出。</w:t>
      </w:r>
    </w:p>
    <w:p w14:paraId="11800BF9" w14:textId="2A0977DB" w:rsidR="008853A8" w:rsidRDefault="008853A8">
      <w:pPr>
        <w:ind w:firstLineChars="200" w:firstLine="640"/>
        <w:outlineLvl w:val="1"/>
        <w:rPr>
          <w:rFonts w:ascii="黑体" w:eastAsia="黑体" w:hAnsi="黑体" w:cs="宋体"/>
          <w:bCs/>
          <w:kern w:val="0"/>
          <w:sz w:val="32"/>
          <w:szCs w:val="32"/>
        </w:rPr>
      </w:pPr>
      <w:bookmarkStart w:id="22" w:name="_Toc7927"/>
      <w:bookmarkStart w:id="23" w:name="_Toc5810"/>
      <w:r>
        <w:rPr>
          <w:rFonts w:ascii="黑体" w:eastAsia="黑体" w:hAnsi="黑体" w:cs="宋体" w:hint="eastAsia"/>
          <w:bCs/>
          <w:kern w:val="0"/>
          <w:sz w:val="32"/>
          <w:szCs w:val="32"/>
        </w:rPr>
        <w:t>八、政府性基金预算收入支出决算情况说明</w:t>
      </w:r>
      <w:bookmarkEnd w:id="22"/>
      <w:bookmarkEnd w:id="23"/>
    </w:p>
    <w:p w14:paraId="1D95B262" w14:textId="74B49A74" w:rsidR="008853A8" w:rsidRPr="008F7D99" w:rsidRDefault="00922FA7">
      <w:pPr>
        <w:ind w:firstLineChars="200" w:firstLine="640"/>
        <w:rPr>
          <w:rFonts w:ascii="仿宋_GB2312" w:eastAsia="仿宋_GB2312"/>
          <w:color w:val="000000" w:themeColor="text1"/>
          <w:sz w:val="32"/>
          <w:szCs w:val="32"/>
        </w:rPr>
      </w:pPr>
      <w:r>
        <w:rPr>
          <w:rFonts w:ascii="仿宋_GB2312" w:hAnsi="仿宋_GB2312" w:cs="仿宋_GB2312" w:eastAsia="仿宋_GB2312"/>
          <w:sz w:val="32"/>
        </w:rPr>
        <w:t>我单位本年度无政府性基金预算财政拨款收入支出，政府性基金预算财政拨款收入支出决算表为空表。</w:t>
      </w:r>
    </w:p>
    <w:p w14:paraId="12E90A62" w14:textId="77777777" w:rsidR="008853A8" w:rsidRDefault="008853A8">
      <w:pPr>
        <w:ind w:firstLineChars="200" w:firstLine="640"/>
        <w:outlineLvl w:val="1"/>
        <w:rPr>
          <w:rFonts w:ascii="黑体" w:eastAsia="黑体" w:hAnsi="黑体" w:cs="宋体"/>
          <w:bCs/>
          <w:kern w:val="0"/>
          <w:sz w:val="32"/>
          <w:szCs w:val="32"/>
        </w:rPr>
      </w:pPr>
      <w:bookmarkStart w:id="24" w:name="_Toc7314"/>
      <w:bookmarkStart w:id="25" w:name="_Toc1235"/>
      <w:r>
        <w:rPr>
          <w:rFonts w:ascii="黑体" w:eastAsia="黑体" w:hAnsi="黑体" w:cs="宋体" w:hint="eastAsia"/>
          <w:bCs/>
          <w:kern w:val="0"/>
          <w:sz w:val="32"/>
          <w:szCs w:val="32"/>
        </w:rPr>
        <w:t>九、其他重要事项的情况说明</w:t>
      </w:r>
      <w:bookmarkEnd w:id="24"/>
      <w:bookmarkEnd w:id="25"/>
    </w:p>
    <w:p w14:paraId="11400E99" w14:textId="77777777" w:rsidR="008853A8" w:rsidRDefault="008853A8">
      <w:pPr>
        <w:ind w:firstLineChars="200" w:firstLine="640"/>
        <w:outlineLvl w:val="2"/>
        <w:rPr>
          <w:rFonts w:ascii="黑体" w:eastAsia="黑体" w:hAnsi="黑体"/>
          <w:sz w:val="32"/>
          <w:szCs w:val="32"/>
        </w:rPr>
      </w:pPr>
      <w:bookmarkStart w:id="26" w:name="_Toc13105"/>
      <w:bookmarkStart w:id="27" w:name="_Toc14519"/>
      <w:r>
        <w:rPr>
          <w:rFonts w:ascii="黑体" w:eastAsia="黑体" w:hAnsi="黑体" w:hint="eastAsia"/>
          <w:sz w:val="32"/>
          <w:szCs w:val="32"/>
        </w:rPr>
        <w:t>（一）机关运行经费支出情况</w:t>
      </w:r>
      <w:bookmarkEnd w:id="26"/>
      <w:bookmarkEnd w:id="27"/>
    </w:p>
    <w:p w14:paraId="75A0F21C" w14:textId="3A75121C" w:rsidR="00553FB5" w:rsidRDefault="00553FB5">
      <w:pPr>
        <w:ind w:firstLineChars="200" w:firstLine="640"/>
        <w:rPr>
          <w:rFonts w:ascii="仿宋_GB2312" w:eastAsia="仿宋_GB2312"/>
          <w:sz w:val="32"/>
          <w:szCs w:val="32"/>
        </w:rPr>
      </w:pPr>
      <w:r>
        <w:rPr>
          <w:rFonts w:ascii="仿宋_GB2312" w:hAnsi="仿宋_GB2312" w:cs="仿宋_GB2312" w:eastAsia="仿宋_GB2312"/>
          <w:sz w:val="32"/>
        </w:rPr>
        <w:t>2019年度新疆喀什综合保税区管理委员会机关运行经费支出8.90万元，比上年减少3.97万元，降低30.85%，主要原因是人员减少，同时进一步加大经费管控，故日常公用经费下降。</w:t>
      </w:r>
    </w:p>
    <w:p w14:paraId="72BCBEBD" w14:textId="77777777" w:rsidR="008853A8" w:rsidRDefault="008853A8">
      <w:pPr>
        <w:ind w:firstLineChars="200" w:firstLine="640"/>
        <w:outlineLvl w:val="2"/>
        <w:rPr>
          <w:rFonts w:ascii="黑体" w:eastAsia="黑体" w:hAnsi="黑体"/>
          <w:sz w:val="32"/>
          <w:szCs w:val="32"/>
        </w:rPr>
      </w:pPr>
      <w:bookmarkStart w:id="28" w:name="_Toc26704"/>
      <w:bookmarkStart w:id="29" w:name="_Toc227"/>
      <w:r>
        <w:rPr>
          <w:rFonts w:ascii="黑体" w:eastAsia="黑体" w:hAnsi="黑体" w:hint="eastAsia"/>
          <w:sz w:val="32"/>
          <w:szCs w:val="32"/>
        </w:rPr>
        <w:t>（二）政府采购情况</w:t>
      </w:r>
      <w:bookmarkEnd w:id="28"/>
      <w:bookmarkEnd w:id="29"/>
    </w:p>
    <w:p w14:paraId="4DEE57E3" w14:textId="498B5E20" w:rsidR="008853A8" w:rsidRDefault="002122DE">
      <w:pPr>
        <w:ind w:firstLineChars="200" w:firstLine="640"/>
        <w:rPr>
          <w:rFonts w:ascii="仿宋_GB2312" w:eastAsia="仿宋_GB2312"/>
          <w:sz w:val="32"/>
          <w:szCs w:val="32"/>
        </w:rPr>
      </w:pPr>
      <w:r>
        <w:rPr>
          <w:rFonts w:ascii="仿宋_GB2312" w:hAnsi="仿宋_GB2312" w:cs="仿宋_GB2312" w:eastAsia="仿宋_GB2312"/>
          <w:sz w:val="32"/>
        </w:rPr>
        <w:t>2019年度政府采购支出总额0万元，其中：政府采购货物支出0万元、政府采购工程支出0万元、政府采购服务支出0万元。</w:t>
      </w:r>
    </w:p>
    <w:p w14:paraId="4BAE89CA" w14:textId="67110A7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授予中小企业合同金额0万元，占政府采购支出总额的0%，其中：授予小微企业合同金额0万元，占政府采购支出总额的0%。</w:t>
      </w:r>
    </w:p>
    <w:p w14:paraId="01E8DA8F" w14:textId="77777777" w:rsidR="008853A8" w:rsidRDefault="008853A8">
      <w:pPr>
        <w:ind w:firstLineChars="200" w:firstLine="640"/>
        <w:outlineLvl w:val="2"/>
        <w:rPr>
          <w:rFonts w:ascii="黑体" w:eastAsia="黑体" w:hAnsi="黑体"/>
          <w:sz w:val="32"/>
          <w:szCs w:val="32"/>
        </w:rPr>
      </w:pPr>
      <w:bookmarkStart w:id="30" w:name="_Toc4591"/>
      <w:bookmarkStart w:id="31" w:name="_Toc8391"/>
      <w:r>
        <w:rPr>
          <w:rFonts w:ascii="黑体" w:eastAsia="黑体" w:hAnsi="黑体" w:hint="eastAsia"/>
          <w:sz w:val="32"/>
          <w:szCs w:val="32"/>
        </w:rPr>
        <w:t>（三）国有资产占用情况说明</w:t>
      </w:r>
      <w:bookmarkEnd w:id="30"/>
      <w:bookmarkEnd w:id="31"/>
    </w:p>
    <w:p w14:paraId="5D15610F" w14:textId="67052147"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截止2019年12月31日，单位共有房屋0（平方米），价值0万元。车辆0辆，价值0万元，其中：副部（省）级及以上领导用车0辆、主要领导干部用车0辆、机要通信用车0辆、应急保障用车0辆、执法执勤用车0辆、特种专业技术用车0辆、离退休干部用车0辆、其他用车0辆，其他用车主要是：无；单位价值50万元以上通用设备0台（套）、单位价值100万元以上专用设备0台（套）。</w:t>
      </w:r>
    </w:p>
    <w:p w14:paraId="183976BD" w14:textId="77777777" w:rsidR="008853A8" w:rsidRDefault="008853A8">
      <w:pPr>
        <w:ind w:firstLineChars="200" w:firstLine="640"/>
        <w:outlineLvl w:val="1"/>
        <w:rPr>
          <w:rFonts w:ascii="黑体" w:eastAsia="黑体" w:hAnsi="黑体" w:cs="宋体"/>
          <w:bCs/>
          <w:kern w:val="0"/>
          <w:sz w:val="32"/>
          <w:szCs w:val="32"/>
        </w:rPr>
      </w:pPr>
      <w:bookmarkStart w:id="32" w:name="_Toc435"/>
      <w:bookmarkStart w:id="33" w:name="_Toc11283"/>
      <w:r>
        <w:rPr>
          <w:rFonts w:ascii="黑体" w:eastAsia="黑体" w:hAnsi="黑体" w:cs="宋体" w:hint="eastAsia"/>
          <w:bCs/>
          <w:kern w:val="0"/>
          <w:sz w:val="32"/>
          <w:szCs w:val="32"/>
        </w:rPr>
        <w:lastRenderedPageBreak/>
        <w:t>十、预算绩效的情况说明</w:t>
      </w:r>
      <w:bookmarkEnd w:id="32"/>
      <w:bookmarkEnd w:id="33"/>
    </w:p>
    <w:p w14:paraId="6F8CE58F" w14:textId="5A0ABE11" w:rsidR="008853A8" w:rsidRDefault="0095219B">
      <w:pPr>
        <w:ind w:firstLineChars="200" w:firstLine="640"/>
        <w:rPr>
          <w:rFonts w:ascii="仿宋_GB2312" w:eastAsia="仿宋_GB2312"/>
          <w:sz w:val="32"/>
          <w:szCs w:val="32"/>
        </w:rPr>
      </w:pPr>
      <w:r>
        <w:rPr>
          <w:rFonts w:ascii="仿宋_GB2312" w:hAnsi="仿宋_GB2312" w:cs="仿宋_GB2312" w:eastAsia="仿宋_GB2312"/>
          <w:sz w:val="32"/>
        </w:rPr>
        <w:t>根据预算绩效管理要求，我单位2019年度开展预算绩效评价项目15个，共涉及资金15744.85万元。预算绩效管理取得的成效：1.在2019年度，本单位实施的项目质量合格率100%，项目支出执行率为14.48%，项目完成及时率100%。2.通过实施相关项目，确保工作人员正常开展业务、提高经营管理水平、提高进出口报关数量、提高进出口贸易额、提高进出口贸易额增长率、为企业减轻税负、优化通关流程、缩短物流成本、扩大对外贸易、服务喀什经济等。发现的问题及原因：工作流程需进一步优化，部分资金拨付程序不完善。下一步改进措施：后期让企业提交资料，确定无问题后申请费用。具体项目自评情况附项目支出绩效自评表。</w:t>
      </w:r>
    </w:p>
    <w:p w14:paraId="0B4F81EF" w14:textId="77777777" w:rsidR="008853A8" w:rsidRDefault="008853A8">
      <w:pPr>
        <w:ind w:firstLineChars="200" w:firstLine="640"/>
        <w:jc w:val="center"/>
        <w:outlineLvl w:val="0"/>
        <w:rPr>
          <w:rFonts w:ascii="黑体" w:eastAsia="黑体" w:hAnsi="黑体"/>
          <w:sz w:val="32"/>
          <w:szCs w:val="32"/>
        </w:rPr>
      </w:pPr>
      <w:bookmarkStart w:id="34" w:name="_Toc24143"/>
      <w:bookmarkStart w:id="35" w:name="_Toc3250"/>
      <w:r>
        <w:rPr>
          <w:rFonts w:ascii="黑体" w:eastAsia="黑体" w:hAnsi="黑体" w:hint="eastAsia"/>
          <w:sz w:val="32"/>
          <w:szCs w:val="32"/>
        </w:rPr>
        <w:t>第三部分 专业名词解释</w:t>
      </w:r>
      <w:bookmarkEnd w:id="34"/>
      <w:bookmarkEnd w:id="35"/>
    </w:p>
    <w:p w14:paraId="04385F5B"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14:paraId="01AEDC0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14:paraId="2C3B0A2D"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14:paraId="700224D5"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14:paraId="1D4BF0F9"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14:paraId="05684206"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14:paraId="0BB9913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690389F8"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w:t>
      </w:r>
      <w:r>
        <w:rPr>
          <w:rFonts w:ascii="仿宋_GB2312" w:eastAsia="仿宋_GB2312" w:hint="eastAsia"/>
          <w:sz w:val="32"/>
          <w:szCs w:val="32"/>
        </w:rPr>
        <w:lastRenderedPageBreak/>
        <w:t>包括财政拨款结转和结余，也包括事业收入、经营收入、其他收入的结转和结余。</w:t>
      </w:r>
    </w:p>
    <w:p w14:paraId="47D0DD6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32CA0731"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14:paraId="0B82AFA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14:paraId="2F9A67A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14:paraId="51862E8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14:paraId="23B4D7BA"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BC4C1C0" w14:textId="77777777" w:rsidR="008853A8" w:rsidRDefault="008853A8">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w:t>
      </w:r>
      <w:r>
        <w:rPr>
          <w:rFonts w:ascii="仿宋_GB2312" w:eastAsia="仿宋_GB2312" w:hint="eastAsia"/>
          <w:sz w:val="32"/>
          <w:szCs w:val="32"/>
        </w:rPr>
        <w:lastRenderedPageBreak/>
        <w:t>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649D204" w14:textId="77777777" w:rsidR="008853A8" w:rsidRDefault="008853A8">
      <w:pPr>
        <w:ind w:firstLineChars="200" w:firstLine="640"/>
        <w:jc w:val="center"/>
        <w:outlineLvl w:val="0"/>
        <w:rPr>
          <w:rFonts w:ascii="黑体" w:eastAsia="黑体" w:hAnsi="黑体"/>
          <w:sz w:val="32"/>
          <w:szCs w:val="32"/>
        </w:rPr>
      </w:pPr>
      <w:bookmarkStart w:id="36" w:name="_Toc28903"/>
      <w:bookmarkStart w:id="37" w:name="_Toc22784"/>
      <w:r>
        <w:rPr>
          <w:rFonts w:ascii="黑体" w:eastAsia="黑体" w:hAnsi="黑体" w:hint="eastAsia"/>
          <w:sz w:val="32"/>
          <w:szCs w:val="32"/>
        </w:rPr>
        <w:t>第四部分 部门决算报表（见附表）</w:t>
      </w:r>
      <w:bookmarkEnd w:id="36"/>
      <w:bookmarkEnd w:id="37"/>
    </w:p>
    <w:p w14:paraId="090AD99E" w14:textId="77777777" w:rsidR="008853A8" w:rsidRDefault="008853A8">
      <w:pPr>
        <w:ind w:firstLineChars="200" w:firstLine="640"/>
        <w:outlineLvl w:val="1"/>
        <w:rPr>
          <w:rFonts w:ascii="黑体" w:eastAsia="黑体" w:hAnsi="黑体" w:cs="宋体"/>
          <w:bCs/>
          <w:kern w:val="0"/>
          <w:sz w:val="32"/>
          <w:szCs w:val="32"/>
        </w:rPr>
      </w:pPr>
      <w:bookmarkStart w:id="38" w:name="_Toc6062"/>
      <w:bookmarkStart w:id="39" w:name="_Toc2183"/>
      <w:r>
        <w:rPr>
          <w:rFonts w:ascii="黑体" w:eastAsia="黑体" w:hAnsi="黑体" w:cs="宋体" w:hint="eastAsia"/>
          <w:bCs/>
          <w:kern w:val="0"/>
          <w:sz w:val="32"/>
          <w:szCs w:val="32"/>
        </w:rPr>
        <w:t>一、《收入支出决算总表》</w:t>
      </w:r>
      <w:bookmarkEnd w:id="38"/>
      <w:bookmarkEnd w:id="39"/>
    </w:p>
    <w:p w14:paraId="004B471D" w14:textId="77777777" w:rsidR="008853A8" w:rsidRDefault="008853A8">
      <w:pPr>
        <w:ind w:firstLineChars="200" w:firstLine="640"/>
        <w:outlineLvl w:val="1"/>
        <w:rPr>
          <w:rFonts w:ascii="黑体" w:eastAsia="黑体" w:hAnsi="黑体" w:cs="宋体"/>
          <w:bCs/>
          <w:kern w:val="0"/>
          <w:sz w:val="32"/>
          <w:szCs w:val="32"/>
        </w:rPr>
      </w:pPr>
      <w:bookmarkStart w:id="40" w:name="_Toc30364"/>
      <w:bookmarkStart w:id="41" w:name="_Toc24532"/>
      <w:r>
        <w:rPr>
          <w:rFonts w:ascii="黑体" w:eastAsia="黑体" w:hAnsi="黑体" w:cs="宋体" w:hint="eastAsia"/>
          <w:bCs/>
          <w:kern w:val="0"/>
          <w:sz w:val="32"/>
          <w:szCs w:val="32"/>
        </w:rPr>
        <w:t>二、《收入决算表》</w:t>
      </w:r>
      <w:bookmarkEnd w:id="40"/>
      <w:bookmarkEnd w:id="41"/>
    </w:p>
    <w:p w14:paraId="62F3C64D" w14:textId="77777777" w:rsidR="008853A8" w:rsidRDefault="008853A8">
      <w:pPr>
        <w:ind w:firstLineChars="200" w:firstLine="640"/>
        <w:outlineLvl w:val="1"/>
        <w:rPr>
          <w:rFonts w:ascii="黑体" w:eastAsia="黑体" w:hAnsi="黑体" w:cs="宋体"/>
          <w:bCs/>
          <w:kern w:val="0"/>
          <w:sz w:val="32"/>
          <w:szCs w:val="32"/>
        </w:rPr>
      </w:pPr>
      <w:bookmarkStart w:id="42" w:name="_Toc21304"/>
      <w:bookmarkStart w:id="43" w:name="_Toc32434"/>
      <w:r>
        <w:rPr>
          <w:rFonts w:ascii="黑体" w:eastAsia="黑体" w:hAnsi="黑体" w:cs="宋体" w:hint="eastAsia"/>
          <w:bCs/>
          <w:kern w:val="0"/>
          <w:sz w:val="32"/>
          <w:szCs w:val="32"/>
        </w:rPr>
        <w:t>三、《支出决算表》</w:t>
      </w:r>
      <w:bookmarkEnd w:id="42"/>
      <w:bookmarkEnd w:id="43"/>
    </w:p>
    <w:p w14:paraId="3D0B5C9A" w14:textId="77777777" w:rsidR="008853A8" w:rsidRDefault="008853A8">
      <w:pPr>
        <w:ind w:firstLineChars="200" w:firstLine="640"/>
        <w:outlineLvl w:val="1"/>
        <w:rPr>
          <w:rFonts w:ascii="黑体" w:eastAsia="黑体" w:hAnsi="黑体" w:cs="宋体"/>
          <w:bCs/>
          <w:kern w:val="0"/>
          <w:sz w:val="32"/>
          <w:szCs w:val="32"/>
        </w:rPr>
      </w:pPr>
      <w:bookmarkStart w:id="44" w:name="_Toc14238"/>
      <w:bookmarkStart w:id="45" w:name="_Toc28786"/>
      <w:r>
        <w:rPr>
          <w:rFonts w:ascii="黑体" w:eastAsia="黑体" w:hAnsi="黑体" w:cs="宋体" w:hint="eastAsia"/>
          <w:bCs/>
          <w:kern w:val="0"/>
          <w:sz w:val="32"/>
          <w:szCs w:val="32"/>
        </w:rPr>
        <w:t>四、《财政拨款收入支出决算总表》</w:t>
      </w:r>
      <w:bookmarkEnd w:id="44"/>
      <w:bookmarkEnd w:id="45"/>
    </w:p>
    <w:p w14:paraId="77EC65FF" w14:textId="77777777" w:rsidR="008853A8" w:rsidRDefault="008853A8">
      <w:pPr>
        <w:ind w:firstLineChars="200" w:firstLine="640"/>
        <w:outlineLvl w:val="1"/>
        <w:rPr>
          <w:rFonts w:ascii="黑体" w:eastAsia="黑体" w:hAnsi="黑体" w:cs="宋体"/>
          <w:bCs/>
          <w:kern w:val="0"/>
          <w:sz w:val="32"/>
          <w:szCs w:val="32"/>
        </w:rPr>
      </w:pPr>
      <w:bookmarkStart w:id="46" w:name="_Toc10347"/>
      <w:bookmarkStart w:id="47" w:name="_Toc14869"/>
      <w:r>
        <w:rPr>
          <w:rFonts w:ascii="黑体" w:eastAsia="黑体" w:hAnsi="黑体" w:cs="宋体" w:hint="eastAsia"/>
          <w:bCs/>
          <w:kern w:val="0"/>
          <w:sz w:val="32"/>
          <w:szCs w:val="32"/>
        </w:rPr>
        <w:t>五、《一般公共预算财政拨款支出决算表》</w:t>
      </w:r>
      <w:bookmarkEnd w:id="46"/>
      <w:bookmarkEnd w:id="47"/>
    </w:p>
    <w:p w14:paraId="4311D09D" w14:textId="77777777" w:rsidR="008853A8" w:rsidRDefault="008853A8">
      <w:pPr>
        <w:ind w:firstLineChars="200" w:firstLine="640"/>
        <w:outlineLvl w:val="1"/>
        <w:rPr>
          <w:rFonts w:ascii="黑体" w:eastAsia="黑体" w:hAnsi="黑体" w:cs="宋体"/>
          <w:bCs/>
          <w:kern w:val="0"/>
          <w:sz w:val="32"/>
          <w:szCs w:val="32"/>
        </w:rPr>
      </w:pPr>
      <w:bookmarkStart w:id="48" w:name="_Toc5626"/>
      <w:bookmarkStart w:id="49" w:name="_Toc8884"/>
      <w:r>
        <w:rPr>
          <w:rFonts w:ascii="黑体" w:eastAsia="黑体" w:hAnsi="黑体" w:cs="宋体" w:hint="eastAsia"/>
          <w:bCs/>
          <w:kern w:val="0"/>
          <w:sz w:val="32"/>
          <w:szCs w:val="32"/>
        </w:rPr>
        <w:t>六、《一般公共预算财政拨款基本支出决算表》</w:t>
      </w:r>
      <w:bookmarkEnd w:id="48"/>
      <w:bookmarkEnd w:id="49"/>
    </w:p>
    <w:p w14:paraId="1D7CDCF2" w14:textId="77777777" w:rsidR="008853A8" w:rsidRDefault="008853A8">
      <w:pPr>
        <w:ind w:firstLineChars="200" w:firstLine="640"/>
        <w:outlineLvl w:val="1"/>
        <w:rPr>
          <w:rFonts w:ascii="黑体" w:eastAsia="黑体" w:hAnsi="黑体" w:cs="宋体"/>
          <w:bCs/>
          <w:kern w:val="0"/>
          <w:sz w:val="32"/>
          <w:szCs w:val="32"/>
        </w:rPr>
      </w:pPr>
      <w:bookmarkStart w:id="50" w:name="_Toc32663"/>
      <w:bookmarkStart w:id="51" w:name="_Toc29106"/>
      <w:r>
        <w:rPr>
          <w:rFonts w:ascii="黑体" w:eastAsia="黑体" w:hAnsi="黑体" w:cs="宋体" w:hint="eastAsia"/>
          <w:bCs/>
          <w:kern w:val="0"/>
          <w:sz w:val="32"/>
          <w:szCs w:val="32"/>
        </w:rPr>
        <w:t>七、《一般公共预算财政拨款“三公”经费支出决算表》</w:t>
      </w:r>
      <w:bookmarkEnd w:id="50"/>
      <w:bookmarkEnd w:id="51"/>
    </w:p>
    <w:p w14:paraId="5A34F572" w14:textId="77777777" w:rsidR="008853A8" w:rsidRDefault="008853A8">
      <w:pPr>
        <w:ind w:firstLineChars="200" w:firstLine="640"/>
        <w:outlineLvl w:val="1"/>
        <w:rPr>
          <w:rFonts w:ascii="黑体" w:eastAsia="黑体" w:hAnsi="黑体" w:cs="宋体"/>
          <w:bCs/>
          <w:kern w:val="0"/>
          <w:sz w:val="32"/>
          <w:szCs w:val="32"/>
        </w:rPr>
      </w:pPr>
      <w:bookmarkStart w:id="52" w:name="_Toc5453"/>
      <w:bookmarkStart w:id="53" w:name="_Toc7643"/>
      <w:r>
        <w:rPr>
          <w:rFonts w:ascii="黑体" w:eastAsia="黑体" w:hAnsi="黑体" w:cs="宋体" w:hint="eastAsia"/>
          <w:bCs/>
          <w:kern w:val="0"/>
          <w:sz w:val="32"/>
          <w:szCs w:val="32"/>
        </w:rPr>
        <w:t>八、《政府性基金预算财政拨款收入支出决算表》</w:t>
      </w:r>
      <w:bookmarkEnd w:id="52"/>
      <w:bookmarkEnd w:id="53"/>
    </w:p>
    <w:sectPr w:rsidR="008853A8">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AF78A" w14:textId="77777777" w:rsidR="00EA656B" w:rsidRDefault="00EA656B">
      <w:r>
        <w:separator/>
      </w:r>
    </w:p>
  </w:endnote>
  <w:endnote w:type="continuationSeparator" w:id="0">
    <w:p w14:paraId="3234A3E4" w14:textId="77777777" w:rsidR="00EA656B" w:rsidRDefault="00EA6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微软雅黑"/>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3B13" w14:textId="7F39015E" w:rsidR="008853A8" w:rsidRDefault="004F1D2D">
    <w:pPr>
      <w:pStyle w:val="a4"/>
    </w:pPr>
    <w:r>
      <w:rPr>
        <w:noProof/>
      </w:rPr>
      <mc:AlternateContent>
        <mc:Choice Requires="wps">
          <w:drawing>
            <wp:anchor distT="0" distB="0" distL="114300" distR="114300" simplePos="0" relativeHeight="251657728" behindDoc="0" locked="0" layoutInCell="1" allowOverlap="1" wp14:anchorId="5D818AEF" wp14:editId="432F0E00">
              <wp:simplePos x="0" y="0"/>
              <wp:positionH relativeFrom="margin">
                <wp:align>center</wp:align>
              </wp:positionH>
              <wp:positionV relativeFrom="paragraph">
                <wp:posOffset>0</wp:posOffset>
              </wp:positionV>
              <wp:extent cx="1828800" cy="18288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D818AEF" id="_x0000_t202" coordsize="21600,21600" o:spt="202" path="m,l,21600r21600,l21600,xe">
              <v:stroke joinstyle="miter"/>
              <v:path gradientshapeok="t" o:connecttype="rect"/>
            </v:shapetype>
            <v:shape id="文本框 1" o:spid="_x0000_s1026" type="#_x0000_t202" style="position:absolute;margin-left:0;margin-top:0;width:2in;height:2in;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ncV47QEAALYDAAAOAAAAZHJzL2Uyb0RvYy54bWysU82O0zAQviPxDpbvNGkPqIqarpZdFSEt P9LCAziOk1jEHmvsNikPAG/AiQt3nqvPwdhpyrJ7Q1yssT3+5ptvPm+uRtOzg0KvwZZ8ucg5U1ZC rW1b8k8fdy/WnPkgbC16sKrkR+X51fb5s83gCrWCDvpaISMQ64vBlbwLwRVZ5mWnjPALcMrSZQNo RKAttlmNYiB002erPH+ZDYC1Q5DKezq9nS75NuE3jZLhfdN4FVhfcuIW0oppreKabTeiaFG4Tssz DfEPLIzQlopeoG5FEGyP+gmU0RLBQxMWEkwGTaOlSj1QN8v8UTf3nXAq9ULieHeRyf8/WPnu8AGZ rml2nFlhaESn799OP36dfn5lyyjP4HxBWfeO8sL4CsaYGlv17g7kZ88s3HTCtuoaEYZOiZropZfZ g6cTjo8g1fAWaqoj9gES0NigiYCkBiN0GtPxMho1BiZjyfVqvc7pStLdvCF2mSjm5w59eK3AsBiU HGn2CV4c7nyYUueUWM3CTvd9mn9v/zogzHiS6EfGE/cwVuNZjgrqIzWCMNmJ7E9BB/iFs4GsVHJL Xuesf2NJiui6OcA5qOZAWEkPSx44m8KbMLlz71C3HeHOYl+TXDudGom6ThzOLMkcSYqzkaP7Hu5T 1p/vtv0NAAD//wMAUEsDBBQABgAIAAAAIQAMSvDu1gAAAAUBAAAPAAAAZHJzL2Rvd25yZXYueG1s TI9Ba8MwDIXvg/4Ho8Juq9MetpDFKaXQS2/rxmA3N1bjMFsOtpsm/37aGGwXoccTT9+rt5N3YsSY +kAK1qsCBFIbTE+dgrfXw0MJImVNRrtAqGDGBNtmcVfryoQbveB4yp3gEEqVVmBzHiopU2vR67QK AxJ7lxC9zixjJ03UNw73Tm6K4lF63RN/sHrAvcX283T1Cp6m94BDwj1+XMY22n4u3XFW6n457Z5B ZJzy3zF84zM6NMx0DlcySTgFXCT/TPY2Zcny/LvIppb/6ZsvAAAA//8DAFBLAQItABQABgAIAAAA IQC2gziS/gAAAOEBAAATAAAAAAAAAAAAAAAAAAAAAABbQ29udGVudF9UeXBlc10ueG1sUEsBAi0A FAAGAAgAAAAhADj9If/WAAAAlAEAAAsAAAAAAAAAAAAAAAAALwEAAF9yZWxzLy5yZWxzUEsBAi0A FAAGAAgAAAAhAB6dxXjtAQAAtgMAAA4AAAAAAAAAAAAAAAAALgIAAGRycy9lMm9Eb2MueG1sUEsB Ai0AFAAGAAgAAAAhAAxK8O7WAAAABQEAAA8AAAAAAAAAAAAAAAAARwQAAGRycy9kb3ducmV2Lnht bFBLBQYAAAAABAAEAPMAAABKBQAAAAA= " filled="f" stroked="f">
              <v:textbox style="mso-fit-shape-to-text:t" inset="0,0,0,0">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26A77A" w14:textId="77777777" w:rsidR="00EA656B" w:rsidRDefault="00EA656B">
      <w:r>
        <w:separator/>
      </w:r>
    </w:p>
  </w:footnote>
  <w:footnote w:type="continuationSeparator" w:id="0">
    <w:p w14:paraId="16C2A13B" w14:textId="77777777" w:rsidR="00EA656B" w:rsidRDefault="00EA65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ocumentProtection w:enforcement="1" w:edit="comments" w:salt="33+orOQNfB3s5stL8/zkZw==" w:hash="w51MZcnc9wEOkOaVWVljQ2+grnQ=" w:cryptSpinCount="100000" w:cryptAlgorithmType="typeAny" w:cryptAlgorithmClass="hash" w:cryptProviderType="rsaFull" w:cryptAlgorithmSid="4"/>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C63837"/>
    <w:rsid w:val="3D5275AC"/>
    <w:rsid w:val="46901EEE"/>
    <w:rsid w:val="469C74D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131AF"/>
  <w15:chartTrackingRefBased/>
  <w15:docId w15:val="{7A89F94D-944E-49B7-A5B0-21D8D0FEA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2">
    <w:name w:val="toc 2"/>
    <w:basedOn w:val="a"/>
    <w:next w:val="a"/>
    <w:pPr>
      <w:ind w:leftChars="200" w:left="420"/>
    </w:pPr>
  </w:style>
  <w:style w:type="paragraph" w:styleId="TOC1">
    <w:name w:val="toc 1"/>
    <w:basedOn w:val="a"/>
    <w:next w:val="a"/>
  </w:style>
  <w:style w:type="paragraph" w:styleId="a3">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3">
    <w:name w:val="toc 3"/>
    <w:basedOn w:val="a"/>
    <w:next w:val="a"/>
    <w:pPr>
      <w:ind w:leftChars="400" w:left="840"/>
    </w:pPr>
  </w:style>
  <w:style w:type="paragraph" w:styleId="a4">
    <w:name w:val="footer"/>
    <w:basedOn w:val="a"/>
    <w:pPr>
      <w:tabs>
        <w:tab w:val="center" w:pos="4153"/>
        <w:tab w:val="right" w:pos="8306"/>
      </w:tabs>
      <w:snapToGrid w:val="0"/>
      <w:jc w:val="left"/>
    </w:pPr>
    <w:rPr>
      <w:sz w:val="18"/>
    </w:rPr>
  </w:style>
  <w:style w:type="paragraph" w:styleId="a5">
    <w:name w:val="annotation text"/>
    <w:basedOn w:val="a"/>
    <w:pPr>
      <w:jc w:val="left"/>
    </w:pPr>
  </w:style>
  <w:style w:type="paragraph" w:customStyle="1" w:styleId="WPSOffice3">
    <w:name w:val="WPSOffice手动目录 3"/>
    <w:pPr>
      <w:ind w:leftChars="400" w:left="400"/>
    </w:pPr>
  </w:style>
  <w:style w:type="paragraph" w:customStyle="1" w:styleId="WPSOffice2">
    <w:name w:val="WPSOffice手动目录 2"/>
    <w:pPr>
      <w:ind w:leftChars="200" w:left="200"/>
    </w:pPr>
  </w:style>
  <w:style w:type="paragraph" w:customStyle="1" w:styleId="WPSOffice1">
    <w:name w:val="WPSOffice手动目录 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7381100">
      <w:bodyDiv w:val="1"/>
      <w:marLeft w:val="0"/>
      <w:marRight w:val="0"/>
      <w:marTop w:val="0"/>
      <w:marBottom w:val="0"/>
      <w:divBdr>
        <w:top w:val="none" w:sz="0" w:space="0" w:color="auto"/>
        <w:left w:val="none" w:sz="0" w:space="0" w:color="auto"/>
        <w:bottom w:val="none" w:sz="0" w:space="0" w:color="auto"/>
        <w:right w:val="none" w:sz="0" w:space="0" w:color="auto"/>
      </w:divBdr>
    </w:div>
    <w:div w:id="726150857">
      <w:bodyDiv w:val="1"/>
      <w:marLeft w:val="0"/>
      <w:marRight w:val="0"/>
      <w:marTop w:val="0"/>
      <w:marBottom w:val="0"/>
      <w:divBdr>
        <w:top w:val="none" w:sz="0" w:space="0" w:color="auto"/>
        <w:left w:val="none" w:sz="0" w:space="0" w:color="auto"/>
        <w:bottom w:val="none" w:sz="0" w:space="0" w:color="auto"/>
        <w:right w:val="none" w:sz="0" w:space="0" w:color="auto"/>
      </w:divBdr>
    </w:div>
    <w:div w:id="1085761621">
      <w:bodyDiv w:val="1"/>
      <w:marLeft w:val="0"/>
      <w:marRight w:val="0"/>
      <w:marTop w:val="0"/>
      <w:marBottom w:val="0"/>
      <w:divBdr>
        <w:top w:val="none" w:sz="0" w:space="0" w:color="auto"/>
        <w:left w:val="none" w:sz="0" w:space="0" w:color="auto"/>
        <w:bottom w:val="none" w:sz="0" w:space="0" w:color="auto"/>
        <w:right w:val="none" w:sz="0" w:space="0" w:color="auto"/>
      </w:divBdr>
    </w:div>
    <w:div w:id="1572694809">
      <w:bodyDiv w:val="1"/>
      <w:marLeft w:val="0"/>
      <w:marRight w:val="0"/>
      <w:marTop w:val="0"/>
      <w:marBottom w:val="0"/>
      <w:divBdr>
        <w:top w:val="none" w:sz="0" w:space="0" w:color="auto"/>
        <w:left w:val="none" w:sz="0" w:space="0" w:color="auto"/>
        <w:bottom w:val="none" w:sz="0" w:space="0" w:color="auto"/>
        <w:right w:val="none" w:sz="0" w:space="0" w:color="auto"/>
      </w:divBdr>
    </w:div>
    <w:div w:id="1814247851">
      <w:bodyDiv w:val="1"/>
      <w:marLeft w:val="0"/>
      <w:marRight w:val="0"/>
      <w:marTop w:val="0"/>
      <w:marBottom w:val="0"/>
      <w:divBdr>
        <w:top w:val="none" w:sz="0" w:space="0" w:color="auto"/>
        <w:left w:val="none" w:sz="0" w:space="0" w:color="auto"/>
        <w:bottom w:val="none" w:sz="0" w:space="0" w:color="auto"/>
        <w:right w:val="none" w:sz="0" w:space="0" w:color="auto"/>
      </w:divBdr>
    </w:div>
    <w:div w:id="1847329340">
      <w:bodyDiv w:val="1"/>
      <w:marLeft w:val="0"/>
      <w:marRight w:val="0"/>
      <w:marTop w:val="0"/>
      <w:marBottom w:val="0"/>
      <w:divBdr>
        <w:top w:val="none" w:sz="0" w:space="0" w:color="auto"/>
        <w:left w:val="none" w:sz="0" w:space="0" w:color="auto"/>
        <w:bottom w:val="none" w:sz="0" w:space="0" w:color="auto"/>
        <w:right w:val="none" w:sz="0" w:space="0" w:color="auto"/>
      </w:divBdr>
    </w:div>
    <w:div w:id="1919709360">
      <w:bodyDiv w:val="1"/>
      <w:marLeft w:val="0"/>
      <w:marRight w:val="0"/>
      <w:marTop w:val="0"/>
      <w:marBottom w:val="0"/>
      <w:divBdr>
        <w:top w:val="none" w:sz="0" w:space="0" w:color="auto"/>
        <w:left w:val="none" w:sz="0" w:space="0" w:color="auto"/>
        <w:bottom w:val="none" w:sz="0" w:space="0" w:color="auto"/>
        <w:right w:val="none" w:sz="0" w:space="0" w:color="auto"/>
      </w:divBdr>
    </w:div>
    <w:div w:id="2019891532">
      <w:bodyDiv w:val="1"/>
      <w:marLeft w:val="0"/>
      <w:marRight w:val="0"/>
      <w:marTop w:val="0"/>
      <w:marBottom w:val="0"/>
      <w:divBdr>
        <w:top w:val="none" w:sz="0" w:space="0" w:color="auto"/>
        <w:left w:val="none" w:sz="0" w:space="0" w:color="auto"/>
        <w:bottom w:val="none" w:sz="0" w:space="0" w:color="auto"/>
        <w:right w:val="none" w:sz="0" w:space="0" w:color="auto"/>
      </w:divBdr>
    </w:div>
    <w:div w:id="2102601509">
      <w:bodyDiv w:val="1"/>
      <w:marLeft w:val="0"/>
      <w:marRight w:val="0"/>
      <w:marTop w:val="0"/>
      <w:marBottom w:val="0"/>
      <w:divBdr>
        <w:top w:val="none" w:sz="0" w:space="0" w:color="auto"/>
        <w:left w:val="none" w:sz="0" w:space="0" w:color="auto"/>
        <w:bottom w:val="none" w:sz="0" w:space="0" w:color="auto"/>
        <w:right w:val="none" w:sz="0" w:space="0" w:color="auto"/>
      </w:divBdr>
    </w:div>
    <w:div w:id="21081930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13</Pages>
  <Words>1031</Words>
  <Characters>5882</Characters>
  <Application>Microsoft Office Word</Application>
  <DocSecurity>0</DocSecurity>
  <Lines>49</Lines>
  <Paragraphs>13</Paragraphs>
  <ScaleCrop>false</ScaleCrop>
  <Company/>
  <LinksUpToDate>false</LinksUpToDate>
  <CharactersWithSpaces>6900</CharactersWithSpaces>
  <SharedDoc>false</SharedDoc>
  <HLinks>
    <vt:vector size="162" baseType="variant">
      <vt:variant>
        <vt:i4>1179699</vt:i4>
      </vt:variant>
      <vt:variant>
        <vt:i4>80</vt:i4>
      </vt:variant>
      <vt:variant>
        <vt:i4>0</vt:i4>
      </vt:variant>
      <vt:variant>
        <vt:i4>5</vt:i4>
      </vt:variant>
      <vt:variant>
        <vt:lpwstr/>
      </vt:variant>
      <vt:variant>
        <vt:lpwstr>_Toc7643</vt:lpwstr>
      </vt:variant>
      <vt:variant>
        <vt:i4>1966131</vt:i4>
      </vt:variant>
      <vt:variant>
        <vt:i4>77</vt:i4>
      </vt:variant>
      <vt:variant>
        <vt:i4>0</vt:i4>
      </vt:variant>
      <vt:variant>
        <vt:i4>5</vt:i4>
      </vt:variant>
      <vt:variant>
        <vt:lpwstr/>
      </vt:variant>
      <vt:variant>
        <vt:lpwstr>_Toc29106</vt:lpwstr>
      </vt:variant>
      <vt:variant>
        <vt:i4>1769520</vt:i4>
      </vt:variant>
      <vt:variant>
        <vt:i4>74</vt:i4>
      </vt:variant>
      <vt:variant>
        <vt:i4>0</vt:i4>
      </vt:variant>
      <vt:variant>
        <vt:i4>5</vt:i4>
      </vt:variant>
      <vt:variant>
        <vt:lpwstr/>
      </vt:variant>
      <vt:variant>
        <vt:lpwstr>_Toc8884</vt:lpwstr>
      </vt:variant>
      <vt:variant>
        <vt:i4>1376313</vt:i4>
      </vt:variant>
      <vt:variant>
        <vt:i4>71</vt:i4>
      </vt:variant>
      <vt:variant>
        <vt:i4>0</vt:i4>
      </vt:variant>
      <vt:variant>
        <vt:i4>5</vt:i4>
      </vt:variant>
      <vt:variant>
        <vt:lpwstr/>
      </vt:variant>
      <vt:variant>
        <vt:lpwstr>_Toc14869</vt:lpwstr>
      </vt:variant>
      <vt:variant>
        <vt:i4>1507381</vt:i4>
      </vt:variant>
      <vt:variant>
        <vt:i4>68</vt:i4>
      </vt:variant>
      <vt:variant>
        <vt:i4>0</vt:i4>
      </vt:variant>
      <vt:variant>
        <vt:i4>5</vt:i4>
      </vt:variant>
      <vt:variant>
        <vt:lpwstr/>
      </vt:variant>
      <vt:variant>
        <vt:lpwstr>_Toc28786</vt:lpwstr>
      </vt:variant>
      <vt:variant>
        <vt:i4>1441847</vt:i4>
      </vt:variant>
      <vt:variant>
        <vt:i4>65</vt:i4>
      </vt:variant>
      <vt:variant>
        <vt:i4>0</vt:i4>
      </vt:variant>
      <vt:variant>
        <vt:i4>5</vt:i4>
      </vt:variant>
      <vt:variant>
        <vt:lpwstr/>
      </vt:variant>
      <vt:variant>
        <vt:lpwstr>_Toc32434</vt:lpwstr>
      </vt:variant>
      <vt:variant>
        <vt:i4>1048631</vt:i4>
      </vt:variant>
      <vt:variant>
        <vt:i4>62</vt:i4>
      </vt:variant>
      <vt:variant>
        <vt:i4>0</vt:i4>
      </vt:variant>
      <vt:variant>
        <vt:i4>5</vt:i4>
      </vt:variant>
      <vt:variant>
        <vt:lpwstr/>
      </vt:variant>
      <vt:variant>
        <vt:lpwstr>_Toc24532</vt:lpwstr>
      </vt:variant>
      <vt:variant>
        <vt:i4>1376314</vt:i4>
      </vt:variant>
      <vt:variant>
        <vt:i4>59</vt:i4>
      </vt:variant>
      <vt:variant>
        <vt:i4>0</vt:i4>
      </vt:variant>
      <vt:variant>
        <vt:i4>5</vt:i4>
      </vt:variant>
      <vt:variant>
        <vt:lpwstr/>
      </vt:variant>
      <vt:variant>
        <vt:lpwstr>_Toc2183</vt:lpwstr>
      </vt:variant>
      <vt:variant>
        <vt:i4>1900597</vt:i4>
      </vt:variant>
      <vt:variant>
        <vt:i4>56</vt:i4>
      </vt:variant>
      <vt:variant>
        <vt:i4>0</vt:i4>
      </vt:variant>
      <vt:variant>
        <vt:i4>5</vt:i4>
      </vt:variant>
      <vt:variant>
        <vt:lpwstr/>
      </vt:variant>
      <vt:variant>
        <vt:lpwstr>_Toc22784</vt:lpwstr>
      </vt:variant>
      <vt:variant>
        <vt:i4>1376310</vt:i4>
      </vt:variant>
      <vt:variant>
        <vt:i4>53</vt:i4>
      </vt:variant>
      <vt:variant>
        <vt:i4>0</vt:i4>
      </vt:variant>
      <vt:variant>
        <vt:i4>5</vt:i4>
      </vt:variant>
      <vt:variant>
        <vt:lpwstr/>
      </vt:variant>
      <vt:variant>
        <vt:lpwstr>_Toc3250</vt:lpwstr>
      </vt:variant>
      <vt:variant>
        <vt:i4>1966131</vt:i4>
      </vt:variant>
      <vt:variant>
        <vt:i4>50</vt:i4>
      </vt:variant>
      <vt:variant>
        <vt:i4>0</vt:i4>
      </vt:variant>
      <vt:variant>
        <vt:i4>5</vt:i4>
      </vt:variant>
      <vt:variant>
        <vt:lpwstr/>
      </vt:variant>
      <vt:variant>
        <vt:lpwstr>_Toc11283</vt:lpwstr>
      </vt:variant>
      <vt:variant>
        <vt:i4>1376305</vt:i4>
      </vt:variant>
      <vt:variant>
        <vt:i4>47</vt:i4>
      </vt:variant>
      <vt:variant>
        <vt:i4>0</vt:i4>
      </vt:variant>
      <vt:variant>
        <vt:i4>5</vt:i4>
      </vt:variant>
      <vt:variant>
        <vt:lpwstr/>
      </vt:variant>
      <vt:variant>
        <vt:lpwstr>_Toc8391</vt:lpwstr>
      </vt:variant>
      <vt:variant>
        <vt:i4>2424834</vt:i4>
      </vt:variant>
      <vt:variant>
        <vt:i4>44</vt:i4>
      </vt:variant>
      <vt:variant>
        <vt:i4>0</vt:i4>
      </vt:variant>
      <vt:variant>
        <vt:i4>5</vt:i4>
      </vt:variant>
      <vt:variant>
        <vt:lpwstr/>
      </vt:variant>
      <vt:variant>
        <vt:lpwstr>_Toc227</vt:lpwstr>
      </vt:variant>
      <vt:variant>
        <vt:i4>1179700</vt:i4>
      </vt:variant>
      <vt:variant>
        <vt:i4>41</vt:i4>
      </vt:variant>
      <vt:variant>
        <vt:i4>0</vt:i4>
      </vt:variant>
      <vt:variant>
        <vt:i4>5</vt:i4>
      </vt:variant>
      <vt:variant>
        <vt:lpwstr/>
      </vt:variant>
      <vt:variant>
        <vt:lpwstr>_Toc14519</vt:lpwstr>
      </vt:variant>
      <vt:variant>
        <vt:i4>1048626</vt:i4>
      </vt:variant>
      <vt:variant>
        <vt:i4>38</vt:i4>
      </vt:variant>
      <vt:variant>
        <vt:i4>0</vt:i4>
      </vt:variant>
      <vt:variant>
        <vt:i4>5</vt:i4>
      </vt:variant>
      <vt:variant>
        <vt:lpwstr/>
      </vt:variant>
      <vt:variant>
        <vt:lpwstr>_Toc1235</vt:lpwstr>
      </vt:variant>
      <vt:variant>
        <vt:i4>2031668</vt:i4>
      </vt:variant>
      <vt:variant>
        <vt:i4>35</vt:i4>
      </vt:variant>
      <vt:variant>
        <vt:i4>0</vt:i4>
      </vt:variant>
      <vt:variant>
        <vt:i4>5</vt:i4>
      </vt:variant>
      <vt:variant>
        <vt:lpwstr/>
      </vt:variant>
      <vt:variant>
        <vt:lpwstr>_Toc5810</vt:lpwstr>
      </vt:variant>
      <vt:variant>
        <vt:i4>1507383</vt:i4>
      </vt:variant>
      <vt:variant>
        <vt:i4>32</vt:i4>
      </vt:variant>
      <vt:variant>
        <vt:i4>0</vt:i4>
      </vt:variant>
      <vt:variant>
        <vt:i4>5</vt:i4>
      </vt:variant>
      <vt:variant>
        <vt:lpwstr/>
      </vt:variant>
      <vt:variant>
        <vt:lpwstr>_Toc21518</vt:lpwstr>
      </vt:variant>
      <vt:variant>
        <vt:i4>1048635</vt:i4>
      </vt:variant>
      <vt:variant>
        <vt:i4>29</vt:i4>
      </vt:variant>
      <vt:variant>
        <vt:i4>0</vt:i4>
      </vt:variant>
      <vt:variant>
        <vt:i4>5</vt:i4>
      </vt:variant>
      <vt:variant>
        <vt:lpwstr/>
      </vt:variant>
      <vt:variant>
        <vt:lpwstr>_Toc30870</vt:lpwstr>
      </vt:variant>
      <vt:variant>
        <vt:i4>1114161</vt:i4>
      </vt:variant>
      <vt:variant>
        <vt:i4>26</vt:i4>
      </vt:variant>
      <vt:variant>
        <vt:i4>0</vt:i4>
      </vt:variant>
      <vt:variant>
        <vt:i4>5</vt:i4>
      </vt:variant>
      <vt:variant>
        <vt:lpwstr/>
      </vt:variant>
      <vt:variant>
        <vt:lpwstr>_Toc20360</vt:lpwstr>
      </vt:variant>
      <vt:variant>
        <vt:i4>1507383</vt:i4>
      </vt:variant>
      <vt:variant>
        <vt:i4>23</vt:i4>
      </vt:variant>
      <vt:variant>
        <vt:i4>0</vt:i4>
      </vt:variant>
      <vt:variant>
        <vt:i4>5</vt:i4>
      </vt:variant>
      <vt:variant>
        <vt:lpwstr/>
      </vt:variant>
      <vt:variant>
        <vt:lpwstr>_Toc26564</vt:lpwstr>
      </vt:variant>
      <vt:variant>
        <vt:i4>1310771</vt:i4>
      </vt:variant>
      <vt:variant>
        <vt:i4>20</vt:i4>
      </vt:variant>
      <vt:variant>
        <vt:i4>0</vt:i4>
      </vt:variant>
      <vt:variant>
        <vt:i4>5</vt:i4>
      </vt:variant>
      <vt:variant>
        <vt:lpwstr/>
      </vt:variant>
      <vt:variant>
        <vt:lpwstr>_Toc13201</vt:lpwstr>
      </vt:variant>
      <vt:variant>
        <vt:i4>1114160</vt:i4>
      </vt:variant>
      <vt:variant>
        <vt:i4>17</vt:i4>
      </vt:variant>
      <vt:variant>
        <vt:i4>0</vt:i4>
      </vt:variant>
      <vt:variant>
        <vt:i4>5</vt:i4>
      </vt:variant>
      <vt:variant>
        <vt:lpwstr/>
      </vt:variant>
      <vt:variant>
        <vt:lpwstr>_Toc12142</vt:lpwstr>
      </vt:variant>
      <vt:variant>
        <vt:i4>1245233</vt:i4>
      </vt:variant>
      <vt:variant>
        <vt:i4>14</vt:i4>
      </vt:variant>
      <vt:variant>
        <vt:i4>0</vt:i4>
      </vt:variant>
      <vt:variant>
        <vt:i4>5</vt:i4>
      </vt:variant>
      <vt:variant>
        <vt:lpwstr/>
      </vt:variant>
      <vt:variant>
        <vt:lpwstr>_Toc25314</vt:lpwstr>
      </vt:variant>
      <vt:variant>
        <vt:i4>1638449</vt:i4>
      </vt:variant>
      <vt:variant>
        <vt:i4>11</vt:i4>
      </vt:variant>
      <vt:variant>
        <vt:i4>0</vt:i4>
      </vt:variant>
      <vt:variant>
        <vt:i4>5</vt:i4>
      </vt:variant>
      <vt:variant>
        <vt:lpwstr/>
      </vt:variant>
      <vt:variant>
        <vt:lpwstr>_Toc29374</vt:lpwstr>
      </vt:variant>
      <vt:variant>
        <vt:i4>1507383</vt:i4>
      </vt:variant>
      <vt:variant>
        <vt:i4>8</vt:i4>
      </vt:variant>
      <vt:variant>
        <vt:i4>0</vt:i4>
      </vt:variant>
      <vt:variant>
        <vt:i4>5</vt:i4>
      </vt:variant>
      <vt:variant>
        <vt:lpwstr/>
      </vt:variant>
      <vt:variant>
        <vt:lpwstr>_Toc2151</vt:lpwstr>
      </vt:variant>
      <vt:variant>
        <vt:i4>1114166</vt:i4>
      </vt:variant>
      <vt:variant>
        <vt:i4>5</vt:i4>
      </vt:variant>
      <vt:variant>
        <vt:i4>0</vt:i4>
      </vt:variant>
      <vt:variant>
        <vt:i4>5</vt:i4>
      </vt:variant>
      <vt:variant>
        <vt:lpwstr/>
      </vt:variant>
      <vt:variant>
        <vt:lpwstr>_Toc30567</vt:lpwstr>
      </vt:variant>
      <vt:variant>
        <vt:i4>1310768</vt:i4>
      </vt:variant>
      <vt:variant>
        <vt:i4>2</vt:i4>
      </vt:variant>
      <vt:variant>
        <vt:i4>0</vt:i4>
      </vt:variant>
      <vt:variant>
        <vt:i4>5</vt:i4>
      </vt:variant>
      <vt:variant>
        <vt:lpwstr/>
      </vt:variant>
      <vt:variant>
        <vt:lpwstr>_Toc32314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2020-09-08T14:04:00Z</dcterms:created>
  <dc:creator>GXR</dc:creator>
  <cp:lastModifiedBy>Wevil Dwyane</cp:lastModifiedBy>
  <dcterms:modified xsi:type="dcterms:W3CDTF">2020-09-11T11:08:00Z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