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12B6D321" w14:textId="0D5360EF"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新疆中共喀什经济开发区纪律检查工作委员会2019年度部门决算</w:t>
      </w:r>
    </w:p>
    <w:p w14:paraId="0ACE5469" w14:textId="77777777" w:rsidR="008853A8" w:rsidRDefault="008853A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EA656B">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EA656B">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EA656B">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纪律检查工作委员会负责开发区的党风廉政建设，检查监督党的路线、方针、政策、决议和国家法律、法规以及党工委、管委会的重大决策、决议的执行情况；贯彻落实中央、自治区、地区关于行政监察工作的决定；按权限检查和处理开发区党员、干部违反党章、党纪、政纪和监察对象违反国家政策、法规以及政纪的行为；受理党员的控告和申诉；受理监察对象不服政纪处分的申诉；受理个人或单位对监察对象违纪行为的检举、控告；会同有关部门开展纠正部门及行业不正之风工作，开展执法监察和效能监察负责开发区审计工作；承办党工委、管委会交办的其他事项。</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新疆中共喀什经济开发区纪律检查工作委员会2019年度，实有人数3人，其中：在职人员3人，离休人员0人，退休人员0人。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从部门决算单位构成看，新疆中共喀什经济开发区纪律检查工作委员会部门决算包括：新疆中共喀什经济开发区纪律检查工作委员会决算。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2019年度本年收入51.96万元，与上年相比，增加51.96万元，增长100%，主要原因是：新增单位、无上年对比数据。本年支出51.96万元，与上年相比，增加51.96万元，增长100%，主要原因是：新增单位、无上年对比数据。</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2019年度本年收入51.96万元，其中：财政拨款收入51.96万元，占100%；上级补助收入0万元，占0%；事业收入0万元，占0%；经营收入0万元，占0%；附属单位上缴收入0万元，占0%；其他收入0万元，占0%。</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2019年度本年支出51.96万元，其中：基本支出48.82万元，占93.96%；项目支出3.14万元，占6.04%；上缴上级支出0万元，占0%；经营支出0万元，占0%；对附属单位补助支出0万元，占0%。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51.96万元，与上年相比，增加51.96万元，增长100%，主要原因是：新增单位、无上年对比数据。财政拨款支出51.96万元，与上年相比，增加51.96万元，增长100%，主要原因是：新增单位、无上年对比数据。</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86.33万元，决算数51.96万元，预决算差异率-39.81%，主要原因是：严控经费支出，故决算数少于预算数。财政拨款支出年初预算数86.33万元，决算数51.96万元，预决算差异率-39.81%，主要原因是：严控经费支出，故决算数少于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2019年度一般公共预算财政拨款支出51.96万元。按功能分类科目项级科目公开，其中：</w:t>
      </w:r>
    </w:p>
    <w:p>
      <w:pPr>
        <w:ind w:firstLine="480"/>
        <w:jc w:val="both"/>
      </w:pPr>
      <w:r>
        <w:rPr>
          <w:rFonts w:ascii="仿宋_GB2312" w:hAnsi="仿宋_GB2312" w:cs="仿宋_GB2312" w:eastAsia="仿宋_GB2312"/>
          <w:b w:val="false"/>
          <w:sz w:val="32"/>
        </w:rPr>
        <w:t xml:space="preserve">   2011101行政运行支出40.06万元；</w:t>
      </w:r>
    </w:p>
    <w:p>
      <w:pPr>
        <w:ind w:firstLine="480"/>
        <w:jc w:val="both"/>
      </w:pPr>
      <w:r>
        <w:rPr>
          <w:rFonts w:ascii="仿宋_GB2312" w:hAnsi="仿宋_GB2312" w:cs="仿宋_GB2312" w:eastAsia="仿宋_GB2312"/>
          <w:b w:val="false"/>
          <w:sz w:val="32"/>
        </w:rPr>
        <w:t xml:space="preserve">   2011199其他纪检监察事务支出3.14万元；</w:t>
      </w:r>
    </w:p>
    <w:p>
      <w:pPr>
        <w:ind w:firstLine="480"/>
        <w:jc w:val="both"/>
      </w:pPr>
      <w:r>
        <w:rPr>
          <w:rFonts w:ascii="仿宋_GB2312" w:hAnsi="仿宋_GB2312" w:cs="仿宋_GB2312" w:eastAsia="仿宋_GB2312"/>
          <w:b w:val="false"/>
          <w:sz w:val="32"/>
        </w:rPr>
        <w:t xml:space="preserve">   2080505机关事业单位基本养老保险缴费支出4.93万元；</w:t>
      </w:r>
    </w:p>
    <w:p>
      <w:pPr>
        <w:ind w:firstLine="480"/>
        <w:jc w:val="both"/>
      </w:pPr>
      <w:r>
        <w:rPr>
          <w:rFonts w:ascii="仿宋_GB2312" w:hAnsi="仿宋_GB2312" w:cs="仿宋_GB2312" w:eastAsia="仿宋_GB2312"/>
          <w:b w:val="false"/>
          <w:sz w:val="32"/>
        </w:rPr>
        <w:t xml:space="preserve">   2210201住房公积金支出3.83万元。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2019年度一般公共预算财政拨款基本支出48.82万元，其中：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人员经费47.62万元，包括：基本工资、津贴补贴、奖金、机关事业单位基本养老保险缴费、职工基本医疗保险缴费、公务员医疗补助缴费、其他社会保障缴费、住房公积金、其他工资福利支出。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公用经费1.20万元，包括：办公费。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0万元，比上年增加0万元，增长0%，主要原因是新增单位、无上年对比数据。其中，因公出国（境）费支出0万元，占0%，比上年增加0万元，增长0%，主要原因是新增单位、无上年对比数据；公务用车购置及运行维护费支出0万元，占0%，比上年增加0万元，增长0%，主要原因是新增单位、无上年对比数据；公务接待费支出0万元，占0%，比上年增加0万元，增长0%，主要原因是新增单位、无上年对比数据。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因公出国（境）费支出0万元，开支内容包括：无因公出国费用。单位全年安排的因公出国（境）团组0个，因公出国（境）0人次。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公务用车购置及运行维护费0万元，其中，公务用车购置费0万元，公务用车运行维护费0万元。公务用车运行维护费开支内容包括无车辆运行费。公务用车购置数0辆，公务用车保有量0辆。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公务接待费0万元，开支内容包括无公务接待费。单位全年安排的国内公务接待0批次，0人次。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0万元，决算数0万元，预决算差异率0%，主要原因是：未安排“三公经费”。其中：因公出国（境）费预算数0万元，决算数0万元，预决算差异率0%，主要原因是：未安排因公出国（境）费；公务用车购置费预算数0万元，决算数0万元，预决算差异率0%，主要原因是：未安排公务用车购置费；公务用车运行费预算数0万元，决算数0万元，预决算差异率0%，主要原因是：未安排公务用车运行费；公务接待费预算数0万元，决算数0万元，预决算差异率0%，主要原因是：未安排公务接待费。</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2019年度新疆中共喀什经济开发区纪律检查工作委员会机关运行经费支出1.20万元，比上年增加1.20万元，增长100%，主要原因是新增单位、无上年对比数据。</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新增单位、无上年对比数据；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lastRenderedPageBreak/>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4个，共涉及资金10.09万元。预算绩效管理取得的成效：在2019年度中，单位积极鼓励党政人员和工作人员外出参加培训，按照国家标准要求采购日常办公用品及设备，通过日常监督来规范喀什经济开发区各单位党政和工作人员的行为准则，提高经济开发区行政效率和清廉风气。通过2019年的工作，保障2020年工作的正常运行，为2020年工作打下良好的基础。发现的问题及原因：1.存在部分项目执行有偏差的情况，例如有些项目的调研结果没有得到充分的运用，故指标未达到年初设置的目标值；2.其次项目存在前期准备工作不充分，资料不齐全的情况。下一步改进措施：1. 建议对相关指标进行详细的偏差说明；2. 建议在项目前期完善相关资料，保管好项目相关资料，以备在项目后期为绩效评价报告提供基础信息。具体项目自评情况附项目支出绩效自评表。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w:t>
      </w:r>
      <w:r>
        <w:rPr>
          <w:rFonts w:ascii="仿宋_GB2312" w:eastAsia="仿宋_GB2312" w:hint="eastAsia"/>
          <w:sz w:val="32"/>
          <w:szCs w:val="32"/>
        </w:rPr>
        <w:lastRenderedPageBreak/>
        <w:t>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w:t>
      </w:r>
      <w:r>
        <w:rPr>
          <w:rFonts w:ascii="仿宋_GB2312" w:eastAsia="仿宋_GB2312" w:hint="eastAsia"/>
          <w:sz w:val="32"/>
          <w:szCs w:val="32"/>
        </w:rPr>
        <w:lastRenderedPageBreak/>
        <w:t>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AF78A" w14:textId="77777777" w:rsidR="00EA656B" w:rsidRDefault="00EA656B">
      <w:r>
        <w:separator/>
      </w:r>
    </w:p>
  </w:endnote>
  <w:endnote w:type="continuationSeparator" w:id="0">
    <w:p w14:paraId="3234A3E4" w14:textId="77777777" w:rsidR="00EA656B" w:rsidRDefault="00EA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A77A" w14:textId="77777777" w:rsidR="00EA656B" w:rsidRDefault="00EA656B">
      <w:r>
        <w:separator/>
      </w:r>
    </w:p>
  </w:footnote>
  <w:footnote w:type="continuationSeparator" w:id="0">
    <w:p w14:paraId="16C2A13B" w14:textId="77777777" w:rsidR="00EA656B" w:rsidRDefault="00EA6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cumentProtection w:enforcement="1" w:edit="comments" w:salt="wLjpChHf8b3zCgWeulcSOw==" w:hash="a697BhPmVvRhpnwYWkna1jNKp+E="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2020-09-11T11:08:00Z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