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bookmarkStart w:id="54" w:name="_GoBack"/>
      <w:bookmarkEnd w:id="54"/>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新疆喀什经济开发区投资建设服务中心2019年度部门决算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投资建设服务中心主要职能为为企业提供全过程、全方位的“一条龙”服务；集中办理经管委会批准的有关审批、审核、备案等相关具体手续并提供其他相关服务；进行土地征用、转用、收回、收购、储备等；提供土地使用权、房产交易场所，为各类土地使用权、房产的交易、洽谈及招标、拍卖、挂牌等活动提供专门场所；接受房产转让委托及产权代理，开展代理土地房产交易、评估、展销和咨询业务。</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新疆喀什经济开发区投资建设服务中心2019年度，实有人数9人，其中：在职人员9人，离休人员0人，退休人员0人。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从部门决算单位构成看，新疆喀什经济开发区投资建设服务中心部门决算包括：新疆喀什经济开发区投资建设服务中心决算。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36,538.66万元，与上年相比，增加36,538.66万元，增长100%，主要原因是：新增单位，无对比数据。本年支出36,407.48万元，与上年相比，增加36,407.48万元，增长100%，主要原因是：新增单位，无对比数据。</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2019年度本年收入36,538.66万元，其中：财政拨款收入29,095.55万元，占79.63%；上级补助收入0万元，占0%；事业收入0万元，占0%；经营收入0万元，占0%；附属单位上缴收入0万元，占0%；其他收入7,443.11万元，占20.37%。</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2019年度本年支出36,407.48万元，其中：基本支出51.35万元，占0.14%；项目支出36,356.13万元，占99.86%；上缴上级支出0万元，占0%；经营支出0万元，占0%；对附属单位补助支出0万元，占0%。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29,095.55万元，与上年相比，增加29,095.55万元，增长100%，主要原因是：新增单位，无对比数据。财政拨款支出28,964.38万元，与上年相比，增加28,964.38万元，增长100%，主要原因是：新增单位，无对比数据。</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7,813.47万元，决算数29,095.55万元，预决算差异率272.38%，主要原因是：因工作安排，年中财政追加深圳产业园四期、创投大厦和公租房等项目约2亿元。财政拨款支出年初预算数7,813.47万元，决算数28,964.38万元，预决算差异率270.7%，主要原因是：因工作安排，年中追加安排深圳产业园四期、创投大厦和公租房等项目约2亿元。</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2019年度一般公共预算财政拨款支出28,324.18万元。按功能分类科目项级科目公开，其中：</w:t>
      </w:r>
    </w:p>
    <w:p>
      <w:pPr>
        <w:ind w:firstLine="480"/>
        <w:jc w:val="both"/>
      </w:pPr>
      <w:r>
        <w:rPr>
          <w:rFonts w:ascii="仿宋_GB2312" w:hAnsi="仿宋_GB2312" w:eastAsia="仿宋_GB2312" w:cs="仿宋_GB2312"/>
          <w:b w:val="0"/>
          <w:sz w:val="32"/>
        </w:rPr>
        <w:t xml:space="preserve">   2080505机关事业单位基本养老保险缴费支出4.67万元；</w:t>
      </w:r>
    </w:p>
    <w:p>
      <w:pPr>
        <w:ind w:firstLine="480"/>
        <w:jc w:val="both"/>
      </w:pPr>
      <w:r>
        <w:rPr>
          <w:rFonts w:ascii="仿宋_GB2312" w:hAnsi="仿宋_GB2312" w:eastAsia="仿宋_GB2312" w:cs="仿宋_GB2312"/>
          <w:b w:val="0"/>
          <w:sz w:val="32"/>
        </w:rPr>
        <w:t xml:space="preserve">   2080799其他就业补助支出484.40万元；</w:t>
      </w:r>
    </w:p>
    <w:p>
      <w:pPr>
        <w:ind w:firstLine="480"/>
        <w:jc w:val="both"/>
      </w:pPr>
      <w:r>
        <w:rPr>
          <w:rFonts w:ascii="仿宋_GB2312" w:hAnsi="仿宋_GB2312" w:eastAsia="仿宋_GB2312" w:cs="仿宋_GB2312"/>
          <w:b w:val="0"/>
          <w:sz w:val="32"/>
        </w:rPr>
        <w:t xml:space="preserve">   2120199其他城乡社区管理事务支出44.31万元；</w:t>
      </w:r>
    </w:p>
    <w:p>
      <w:pPr>
        <w:ind w:firstLine="480"/>
        <w:jc w:val="both"/>
      </w:pPr>
      <w:r>
        <w:rPr>
          <w:rFonts w:ascii="仿宋_GB2312" w:hAnsi="仿宋_GB2312" w:eastAsia="仿宋_GB2312" w:cs="仿宋_GB2312"/>
          <w:b w:val="0"/>
          <w:sz w:val="32"/>
        </w:rPr>
        <w:t xml:space="preserve">   2120399其他城乡社区公共设施支出1,944.73万元；</w:t>
      </w:r>
    </w:p>
    <w:p>
      <w:pPr>
        <w:ind w:firstLine="480"/>
        <w:jc w:val="both"/>
      </w:pPr>
      <w:r>
        <w:rPr>
          <w:rFonts w:ascii="仿宋_GB2312" w:hAnsi="仿宋_GB2312" w:eastAsia="仿宋_GB2312" w:cs="仿宋_GB2312"/>
          <w:b w:val="0"/>
          <w:sz w:val="32"/>
        </w:rPr>
        <w:t xml:space="preserve">   2129901其他城乡社区支出9,187.93万元；</w:t>
      </w:r>
    </w:p>
    <w:p>
      <w:pPr>
        <w:ind w:firstLine="480"/>
        <w:jc w:val="both"/>
      </w:pPr>
      <w:r>
        <w:rPr>
          <w:rFonts w:ascii="仿宋_GB2312" w:hAnsi="仿宋_GB2312" w:eastAsia="仿宋_GB2312" w:cs="仿宋_GB2312"/>
          <w:b w:val="0"/>
          <w:sz w:val="32"/>
        </w:rPr>
        <w:t xml:space="preserve">   2210106公共租赁住房支出9,072.23万元；</w:t>
      </w:r>
    </w:p>
    <w:p>
      <w:pPr>
        <w:ind w:firstLine="480"/>
        <w:jc w:val="both"/>
      </w:pPr>
      <w:r>
        <w:rPr>
          <w:rFonts w:ascii="仿宋_GB2312" w:hAnsi="仿宋_GB2312" w:eastAsia="仿宋_GB2312" w:cs="仿宋_GB2312"/>
          <w:b w:val="0"/>
          <w:sz w:val="32"/>
        </w:rPr>
        <w:t xml:space="preserve">   2210201住房公积金支出3.71万元；</w:t>
      </w:r>
    </w:p>
    <w:p>
      <w:pPr>
        <w:ind w:firstLine="480"/>
        <w:jc w:val="both"/>
      </w:pPr>
      <w:r>
        <w:rPr>
          <w:rFonts w:ascii="仿宋_GB2312" w:hAnsi="仿宋_GB2312" w:eastAsia="仿宋_GB2312" w:cs="仿宋_GB2312"/>
          <w:b w:val="0"/>
          <w:sz w:val="32"/>
        </w:rPr>
        <w:t xml:space="preserve">   2299901其他支出7,582.20万元。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2019年度一般公共预算财政拨款基本支出51.35万元，其中：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人员经费49.53万元，包括：基本工资、津贴补贴、奖金、机关事业单位基本养老保险缴费、职工基本医疗保险缴费、其他社会保障缴费、住房公积金、其他工资福利支出。</w:t>
      </w:r>
    </w:p>
    <w:p>
      <w:pPr>
        <w:ind w:firstLine="640" w:firstLineChars="200"/>
        <w:rPr>
          <w:rFonts w:ascii="仿宋_GB2312" w:eastAsia="仿宋_GB2312"/>
          <w:sz w:val="32"/>
          <w:szCs w:val="32"/>
        </w:rPr>
      </w:pPr>
      <w:r>
        <w:rPr>
          <w:rFonts w:ascii="仿宋_GB2312" w:hAnsi="仿宋_GB2312" w:eastAsia="仿宋_GB2312" w:cs="仿宋_GB2312"/>
          <w:sz w:val="32"/>
        </w:rPr>
        <w:t>公用经费1.82万元，包括：办公费、公务接待费、其他商品和服务支出。</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0.20万元，比上年增加0.20万元，增长100%，主要原因是新增单位，无上年对比数据。其中，因公出国（境）费支出0万元，占0%，比上年增加0万元，增长0%，主要原因是新增单位，无上年对比数据；公务用车购置及运行维护费支出0万元，占0%，比上年增加0万元，增长0%，主要原因是新增单位，无上年对比数据；公务接待费支出0.20万元，占100%，比上年增加0.20万元，增长100%，主要原因是新增单位，无上年对比数据。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因公出国（境）费支出0万元，开支内容包括：新增单位，无上年对比数据。单位全年安排的因公出国（境）团组0个，因公出国（境）0人次。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公务用车购置及运行维护费0万元，其中，公务用车购置费0万元，公务用车运行维护费0万元。公务用车运行维护费开支内容包括新增单位，无上年对比数据。公务用车购置数0辆，公务用车保有量0辆。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公务接待费0.20万元，开支内容包括来访人员餐费，国内公务接待0.2万元。单位全年安排的国内公务接待2批次，22人次。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0.53万元，决算数0.20万元，预决算差异率-62.26%，主要原因是：新成立单位接待人员少，严格把控接待费支出。其中：因公出国（境）费预算数0万元，决算数0万元，预决算差异率0%，主要原因是：未安排因公出国（境）费支出；公务用车购置费预算数0万元，决算数0万元，预决算差异率0%，主要原因是：未安排公务车购置费用；公务用车运行费预算数0万元，决算数0万元，预决算差异率0%，主要原因是：未安排公务用车运行费；公务接待费预算数0.53万元，决算数0.20万元，预决算差异率-62.26%，主要原因是：新成立单位接待人员少，严格把控接待费支出。</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2019年度政府性基金预算财政拨款收入640.20万元，与上年相比，增加640.20万元，增长100%，主要原因是：新增单位，上年无财政拨款收入。政府性基金预算支出640.20万元，与上年相比，增加640.20万元，增长100%，主要原因是：新增单位，上年未安排支出。</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新疆喀什经济开发区投资建设服务中心日常公用经费1.82万元，比上年增加1.82万元，增长100%，主要原因是新增单位，无上年对比数据。</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无其他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29个，共涉及资金32048.67万元。预算绩效管理取得的成效：我单位充分发挥了民主集中制度，项目立项制度，规范流程制度，以及专人负责制，保证项目在完全公开、透明、合法的前提下开展实施工作，有效杜绝了在项目实施过程中可能出现的事项混乱、职责交叉等行为，保障项目工作开展的科学合理。通过实施相关项目，改善办公条件、提升办公效率、提升北部产业园营商环境、提高园区办公人员出行便利、提升园区</w:t>
      </w:r>
      <w:r>
        <w:rPr>
          <w:rFonts w:hint="eastAsia" w:ascii="仿宋_GB2312" w:hAnsi="仿宋_GB2312" w:eastAsia="仿宋_GB2312" w:cs="仿宋_GB2312"/>
          <w:sz w:val="32"/>
          <w:lang w:eastAsia="zh-CN"/>
        </w:rPr>
        <w:t>防护</w:t>
      </w:r>
      <w:r>
        <w:rPr>
          <w:rFonts w:ascii="仿宋_GB2312" w:hAnsi="仿宋_GB2312" w:eastAsia="仿宋_GB2312" w:cs="仿宋_GB2312"/>
          <w:sz w:val="32"/>
        </w:rPr>
        <w:t>安保质量、提升北部产业园政策宣传影响力、保障机动车通行顺畅、促进绿色生态环境发展。发现的问题及原因：1、本单位部分项目年检未验收，合同尾款尚未支付，尚未进行决算审计。2、部分项目未制定项目实施方案。下一步改进措施：1、加快竣工验收程序，加快资金支付进度，尽快完成财务竣工决算审计。2、建议制定相关实施方案。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0j1bRKzMjUEr4famOA+6I/OQsnE=" w:salt="TaSQVqulqT2SbDnyunRVi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1947BC"/>
    <w:rsid w:val="31C63837"/>
    <w:rsid w:val="3D5275AC"/>
    <w:rsid w:val="3EE40D60"/>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1031</Words>
  <Characters>5882</Characters>
  <Lines>49</Lines>
  <Paragraphs>13</Paragraphs>
  <TotalTime>10</TotalTime>
  <ScaleCrop>false</ScaleCrop>
  <LinksUpToDate>false</LinksUpToDate>
  <CharactersWithSpaces>6900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2021-05-30T03:00:09Z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