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新疆城北转化加工区管理服务中心2022年度部门决算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推进城北转化加工区建设，协助做好区内基础设施的建设前期工作；协助做好区内招商引资工作；负责区内项目管理服务工作，积极推进项目落地；负责区内企业服务，做好各项政策宣传和相关政策补贴初核，协调解决企业发展中存在的问题和困难；承担区内厂房、办公用房、公租房、公共配套设置产权及物业管理；承担区内安全检查、生产、用工协调等工作；承担区内公共绿化、公共服务设施的管护；负责区内非公党建指导工作；承办党工委、管委会交办的其他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新疆城北转化加工区管理服务中心</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5</w:t>
      </w:r>
      <w:r>
        <w:rPr>
          <w:rFonts w:hint="eastAsia" w:ascii="仿宋_GB2312" w:eastAsia="仿宋_GB2312"/>
          <w:sz w:val="32"/>
          <w:szCs w:val="32"/>
        </w:rPr>
        <w:t>人，其中：在职人员</w:t>
      </w:r>
      <w:r>
        <w:rPr>
          <w:rFonts w:ascii="仿宋_GB2312" w:eastAsia="仿宋_GB2312"/>
          <w:sz w:val="32"/>
          <w:szCs w:val="32"/>
        </w:rPr>
        <w:t>5</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从部门决算单位构成看，新疆城北转化加工区管理服务中心部门决算包括：新疆城北转化加工区管理服务中心决算。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个处室，分别是：办公室</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年度收入总计4,614.35万元，其中：本年收入合计</w:t>
      </w:r>
      <w:r>
        <w:rPr>
          <w:rFonts w:ascii="仿宋_GB2312" w:eastAsia="仿宋_GB2312"/>
          <w:sz w:val="32"/>
          <w:szCs w:val="32"/>
        </w:rPr>
        <w:t>4,614.35</w:t>
      </w:r>
      <w:r>
        <w:rPr>
          <w:rFonts w:hint="eastAsia" w:ascii="仿宋_GB2312" w:eastAsia="仿宋_GB2312"/>
          <w:sz w:val="32"/>
          <w:szCs w:val="32"/>
        </w:rPr>
        <w:t>万元，使用非财政拨款结余0.00万元，年初结转和结余0.00万元。收入总计与上年相比，减少1,408.31万元，</w:t>
      </w:r>
      <w:r>
        <w:rPr>
          <w:rFonts w:ascii="仿宋_GB2312" w:eastAsia="仿宋_GB2312"/>
          <w:sz w:val="32"/>
          <w:szCs w:val="32"/>
        </w:rPr>
        <w:t>下降23.38</w:t>
      </w:r>
      <w:r>
        <w:rPr>
          <w:rFonts w:hint="eastAsia" w:ascii="仿宋_GB2312" w:eastAsia="仿宋_GB2312"/>
          <w:sz w:val="32"/>
          <w:szCs w:val="32"/>
        </w:rPr>
        <w:t>%，主要原因是：2022年未安排十一县市飞地园区招商引资经费及十一县奖励扶持资金。</w:t>
      </w:r>
    </w:p>
    <w:p>
      <w:pPr>
        <w:ind w:firstLine="640" w:firstLineChars="200"/>
        <w:rPr>
          <w:rFonts w:ascii="仿宋_GB2312" w:eastAsia="仿宋_GB2312"/>
          <w:sz w:val="32"/>
          <w:szCs w:val="32"/>
        </w:rPr>
      </w:pPr>
      <w:r>
        <w:rPr>
          <w:rFonts w:hint="eastAsia" w:ascii="仿宋_GB2312" w:eastAsia="仿宋_GB2312"/>
          <w:sz w:val="32"/>
          <w:szCs w:val="32"/>
        </w:rPr>
        <w:t>本年支出总计4,614.35万元，其中：本年支出合计</w:t>
      </w:r>
      <w:r>
        <w:rPr>
          <w:rFonts w:ascii="仿宋_GB2312" w:eastAsia="仿宋_GB2312"/>
          <w:sz w:val="32"/>
          <w:szCs w:val="32"/>
        </w:rPr>
        <w:t>4,614.35</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减少1,408.31</w:t>
      </w:r>
      <w:r>
        <w:rPr>
          <w:rFonts w:hint="eastAsia" w:ascii="仿宋_GB2312" w:eastAsia="仿宋_GB2312"/>
          <w:sz w:val="32"/>
          <w:szCs w:val="32"/>
        </w:rPr>
        <w:t>万元，</w:t>
      </w:r>
      <w:r>
        <w:rPr>
          <w:rFonts w:ascii="仿宋_GB2312" w:eastAsia="仿宋_GB2312"/>
          <w:sz w:val="32"/>
          <w:szCs w:val="32"/>
        </w:rPr>
        <w:t>下降23.38</w:t>
      </w:r>
      <w:r>
        <w:rPr>
          <w:rFonts w:hint="eastAsia" w:ascii="仿宋_GB2312" w:eastAsia="仿宋_GB2312"/>
          <w:sz w:val="32"/>
          <w:szCs w:val="32"/>
        </w:rPr>
        <w:t>%，主要原因是：2022年未安排十一县市飞地园区招商引资经费及十一县奖励扶持资金。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4,614.35</w:t>
      </w:r>
      <w:r>
        <w:rPr>
          <w:rFonts w:hint="eastAsia" w:ascii="仿宋_GB2312" w:eastAsia="仿宋_GB2312"/>
          <w:sz w:val="32"/>
          <w:szCs w:val="32"/>
        </w:rPr>
        <w:t>万元，其中：财政拨款收入</w:t>
      </w:r>
      <w:r>
        <w:rPr>
          <w:rFonts w:ascii="仿宋_GB2312" w:eastAsia="仿宋_GB2312"/>
          <w:sz w:val="32"/>
          <w:szCs w:val="32"/>
        </w:rPr>
        <w:t>4,614.35</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年度本年支出4,614.35万元，其中：基本支出</w:t>
      </w:r>
      <w:r>
        <w:rPr>
          <w:rFonts w:ascii="仿宋_GB2312" w:eastAsia="仿宋_GB2312"/>
          <w:sz w:val="32"/>
          <w:szCs w:val="32"/>
        </w:rPr>
        <w:t>76.36</w:t>
      </w:r>
      <w:r>
        <w:rPr>
          <w:rFonts w:hint="eastAsia" w:ascii="仿宋_GB2312" w:eastAsia="仿宋_GB2312"/>
          <w:sz w:val="32"/>
          <w:szCs w:val="32"/>
        </w:rPr>
        <w:t>万元，占1.65%；项目支出</w:t>
      </w:r>
      <w:r>
        <w:rPr>
          <w:rFonts w:ascii="仿宋_GB2312" w:eastAsia="仿宋_GB2312"/>
          <w:sz w:val="32"/>
          <w:szCs w:val="32"/>
        </w:rPr>
        <w:t>4,538.00</w:t>
      </w:r>
      <w:r>
        <w:rPr>
          <w:rFonts w:hint="eastAsia" w:ascii="仿宋_GB2312" w:eastAsia="仿宋_GB2312"/>
          <w:sz w:val="32"/>
          <w:szCs w:val="32"/>
        </w:rPr>
        <w:t>万元，占98.35%；上缴上级支出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4,614.35万元，其中：年初财政拨款结转和结余0.00万元，财政拨款本年收入4,614.35万元。财政拨款收入总计与上年相比，减少1,403.79万元，下降23.33%，主要原因是：2022年未安排十一县市飞地园区招商引资经费及十一县奖励扶持资金。</w:t>
      </w:r>
    </w:p>
    <w:p>
      <w:pPr>
        <w:ind w:firstLine="640" w:firstLineChars="200"/>
        <w:rPr>
          <w:rFonts w:ascii="仿宋_GB2312" w:eastAsia="仿宋_GB2312"/>
          <w:sz w:val="32"/>
          <w:szCs w:val="32"/>
        </w:rPr>
      </w:pPr>
      <w:r>
        <w:rPr>
          <w:rFonts w:hint="eastAsia" w:ascii="仿宋_GB2312" w:eastAsia="仿宋_GB2312"/>
          <w:sz w:val="32"/>
          <w:szCs w:val="32"/>
        </w:rPr>
        <w:t>财政拨款支出总计4,614.35万元，其中：年末财政拨款结转和结余0.00万元，财政拨款本年支出4,614.35万元。财政拨款支出总计与上年相比，减少1,403.79万元，下降23.33%，主要原因是：2022年未安排十一县市飞地园区招商引资经费及十一县奖励扶持资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5,292.46</w:t>
      </w:r>
      <w:r>
        <w:rPr>
          <w:rFonts w:hint="eastAsia" w:ascii="仿宋_GB2312" w:eastAsia="仿宋_GB2312"/>
          <w:sz w:val="32"/>
          <w:szCs w:val="32"/>
        </w:rPr>
        <w:t>万元，决算数</w:t>
      </w:r>
      <w:r>
        <w:rPr>
          <w:rFonts w:ascii="仿宋_GB2312" w:eastAsia="仿宋_GB2312"/>
          <w:sz w:val="32"/>
          <w:szCs w:val="32"/>
        </w:rPr>
        <w:t>4,614.35</w:t>
      </w:r>
      <w:r>
        <w:rPr>
          <w:rFonts w:hint="eastAsia" w:ascii="仿宋_GB2312" w:eastAsia="仿宋_GB2312"/>
          <w:sz w:val="32"/>
          <w:szCs w:val="32"/>
        </w:rPr>
        <w:t>万元，预决算差异率</w:t>
      </w:r>
      <w:r>
        <w:rPr>
          <w:rFonts w:ascii="仿宋_GB2312" w:eastAsia="仿宋_GB2312"/>
          <w:sz w:val="32"/>
          <w:szCs w:val="32"/>
        </w:rPr>
        <w:t>-12.81</w:t>
      </w:r>
      <w:r>
        <w:rPr>
          <w:rFonts w:hint="eastAsia" w:ascii="仿宋_GB2312" w:eastAsia="仿宋_GB2312"/>
          <w:sz w:val="32"/>
          <w:szCs w:val="32"/>
        </w:rPr>
        <w:t>%，主要原因是：2022年城北便民服务站运行项目受影响未完工，按照项目实施进度资金未全部拨付，城北转化加工区11县园区工人上下班接送服务项目年初安排项目预算，项目未实施。财政拨款支出总计年初预算数</w:t>
      </w:r>
      <w:r>
        <w:rPr>
          <w:rFonts w:ascii="仿宋_GB2312" w:eastAsia="仿宋_GB2312"/>
          <w:sz w:val="32"/>
          <w:szCs w:val="32"/>
        </w:rPr>
        <w:t>5,292.46</w:t>
      </w:r>
      <w:r>
        <w:rPr>
          <w:rFonts w:hint="eastAsia" w:ascii="仿宋_GB2312" w:eastAsia="仿宋_GB2312"/>
          <w:sz w:val="32"/>
          <w:szCs w:val="32"/>
        </w:rPr>
        <w:t>万元，决算数</w:t>
      </w:r>
      <w:r>
        <w:rPr>
          <w:rFonts w:ascii="仿宋_GB2312" w:eastAsia="仿宋_GB2312"/>
          <w:sz w:val="32"/>
          <w:szCs w:val="32"/>
        </w:rPr>
        <w:t>4,614.35</w:t>
      </w:r>
      <w:r>
        <w:rPr>
          <w:rFonts w:hint="eastAsia" w:ascii="仿宋_GB2312" w:eastAsia="仿宋_GB2312"/>
          <w:sz w:val="32"/>
          <w:szCs w:val="32"/>
        </w:rPr>
        <w:t>万元，预决算差异率-12.81%，主要原因是：2022年城北便民服务站运行项目受影响未完工，按照项目实施进度资金未全部拨付，城北转化加工区11县园区工人上下班接送服务项目年初安排项目预算，项目未实施。</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年度一般公共预算财政拨款支出4,614.35万元，占本年支出合计的</w:t>
      </w:r>
      <w:r>
        <w:rPr>
          <w:rFonts w:ascii="仿宋_GB2312" w:eastAsia="仿宋_GB2312"/>
          <w:sz w:val="32"/>
          <w:szCs w:val="32"/>
        </w:rPr>
        <w:t>100.00</w:t>
      </w:r>
      <w:r>
        <w:rPr>
          <w:rFonts w:hint="eastAsia" w:ascii="仿宋_GB2312" w:eastAsia="仿宋_GB2312"/>
          <w:sz w:val="32"/>
          <w:szCs w:val="32"/>
        </w:rPr>
        <w:t>%，与上年相比，</w:t>
      </w:r>
      <w:r>
        <w:rPr>
          <w:rFonts w:ascii="仿宋_GB2312" w:eastAsia="仿宋_GB2312"/>
          <w:sz w:val="32"/>
          <w:szCs w:val="32"/>
        </w:rPr>
        <w:t>减少1,403.79</w:t>
      </w:r>
      <w:r>
        <w:rPr>
          <w:rFonts w:hint="eastAsia" w:ascii="仿宋_GB2312" w:eastAsia="仿宋_GB2312"/>
          <w:sz w:val="32"/>
          <w:szCs w:val="32"/>
        </w:rPr>
        <w:t>万元，</w:t>
      </w:r>
      <w:r>
        <w:rPr>
          <w:rFonts w:ascii="仿宋_GB2312" w:eastAsia="仿宋_GB2312"/>
          <w:sz w:val="32"/>
          <w:szCs w:val="32"/>
        </w:rPr>
        <w:t>下降23.33</w:t>
      </w:r>
      <w:r>
        <w:rPr>
          <w:rFonts w:hint="eastAsia" w:ascii="仿宋_GB2312" w:eastAsia="仿宋_GB2312"/>
          <w:sz w:val="32"/>
          <w:szCs w:val="32"/>
        </w:rPr>
        <w:t>%，主要原因是：2022年未安排十一县市飞地园区招商引资经费及十一县奖励扶持资金。</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1.一般公共服务支出(类)78.58万元,占1.70%。</w:t>
      </w:r>
    </w:p>
    <w:p>
      <w:pPr>
        <w:ind w:firstLine="640" w:firstLineChars="200"/>
        <w:outlineLvl w:val="2"/>
        <w:rPr>
          <w:rFonts w:ascii="黑体" w:hAnsi="黑体" w:eastAsia="黑体"/>
          <w:sz w:val="32"/>
          <w:szCs w:val="32"/>
        </w:rPr>
      </w:pPr>
      <w:r>
        <w:rPr>
          <w:rFonts w:hint="eastAsia" w:ascii="仿宋_GB2312" w:eastAsia="仿宋_GB2312"/>
          <w:sz w:val="32"/>
          <w:szCs w:val="32"/>
        </w:rPr>
        <w:t>2.公共安全支出(类)0.66万元,占0.01%。</w:t>
      </w:r>
    </w:p>
    <w:p>
      <w:pPr>
        <w:ind w:firstLine="640" w:firstLineChars="200"/>
        <w:outlineLvl w:val="2"/>
        <w:rPr>
          <w:rFonts w:ascii="黑体" w:hAnsi="黑体" w:eastAsia="黑体"/>
          <w:sz w:val="32"/>
          <w:szCs w:val="32"/>
        </w:rPr>
      </w:pPr>
      <w:r>
        <w:rPr>
          <w:rFonts w:hint="eastAsia" w:ascii="仿宋_GB2312" w:eastAsia="仿宋_GB2312"/>
          <w:sz w:val="32"/>
          <w:szCs w:val="32"/>
        </w:rPr>
        <w:t>3.社会保障和就业支出(类)7.35万元,占0.16%。</w:t>
      </w:r>
    </w:p>
    <w:p>
      <w:pPr>
        <w:ind w:firstLine="640" w:firstLineChars="200"/>
        <w:outlineLvl w:val="2"/>
        <w:rPr>
          <w:rFonts w:ascii="黑体" w:hAnsi="黑体" w:eastAsia="黑体"/>
          <w:sz w:val="32"/>
          <w:szCs w:val="32"/>
        </w:rPr>
      </w:pPr>
      <w:r>
        <w:rPr>
          <w:rFonts w:hint="eastAsia" w:ascii="仿宋_GB2312" w:eastAsia="仿宋_GB2312"/>
          <w:sz w:val="32"/>
          <w:szCs w:val="32"/>
        </w:rPr>
        <w:t>4.卫生健康支出(类)16.96万元,占0.37%。</w:t>
      </w:r>
    </w:p>
    <w:p>
      <w:pPr>
        <w:ind w:firstLine="640" w:firstLineChars="200"/>
        <w:outlineLvl w:val="2"/>
        <w:rPr>
          <w:rFonts w:ascii="黑体" w:hAnsi="黑体" w:eastAsia="黑体"/>
          <w:sz w:val="32"/>
          <w:szCs w:val="32"/>
        </w:rPr>
      </w:pPr>
      <w:r>
        <w:rPr>
          <w:rFonts w:hint="eastAsia" w:ascii="仿宋_GB2312" w:eastAsia="仿宋_GB2312"/>
          <w:sz w:val="32"/>
          <w:szCs w:val="32"/>
        </w:rPr>
        <w:t>5.城乡社区支出(类)4,503.88万元,占97.61%。</w:t>
      </w:r>
    </w:p>
    <w:p>
      <w:pPr>
        <w:ind w:firstLine="640" w:firstLineChars="200"/>
        <w:outlineLvl w:val="2"/>
        <w:rPr>
          <w:rFonts w:ascii="黑体" w:hAnsi="黑体" w:eastAsia="黑体"/>
          <w:sz w:val="32"/>
          <w:szCs w:val="32"/>
        </w:rPr>
      </w:pPr>
      <w:r>
        <w:rPr>
          <w:rFonts w:hint="eastAsia" w:ascii="仿宋_GB2312" w:eastAsia="仿宋_GB2312"/>
          <w:sz w:val="32"/>
          <w:szCs w:val="32"/>
        </w:rPr>
        <w:t>6.住房保障支出(类)6.92万元,占0.15%。</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1.一般公共服务支出(类)政府办公厅（室）及相关机构事务(款)事业运行(项):支出决算数为58.04万元，比上年决算增加21.33万元，增长58.10%</w:t>
      </w:r>
      <w:r>
        <w:rPr>
          <w:rFonts w:ascii="仿宋_GB2312" w:eastAsia="仿宋_GB2312"/>
          <w:sz w:val="32"/>
          <w:szCs w:val="32"/>
        </w:rPr>
        <w:t>,</w:t>
      </w:r>
      <w:r>
        <w:rPr>
          <w:rFonts w:hint="eastAsia" w:ascii="仿宋_GB2312" w:eastAsia="仿宋_GB2312"/>
          <w:sz w:val="32"/>
          <w:szCs w:val="32"/>
        </w:rPr>
        <w:t>主要原因是:2022年新增在职人员2人，工资调增，相关经费增加。</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2.一般公共服务支出(类)政府办公厅（室）及相关机构事务(款)其他政府办公厅（室）及相关机构事务支出(项):支出决算数为20.54万元，比上年决算减少176.15万元，下降89.56%</w:t>
      </w:r>
      <w:r>
        <w:rPr>
          <w:rFonts w:ascii="仿宋_GB2312" w:eastAsia="仿宋_GB2312"/>
          <w:sz w:val="32"/>
          <w:szCs w:val="32"/>
        </w:rPr>
        <w:t>,</w:t>
      </w:r>
      <w:r>
        <w:rPr>
          <w:rFonts w:hint="eastAsia" w:ascii="仿宋_GB2312" w:eastAsia="仿宋_GB2312"/>
          <w:sz w:val="32"/>
          <w:szCs w:val="32"/>
        </w:rPr>
        <w:t>主要原因是:2022年未安排十一县绩效奖励经费。</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3.公共安全支出(类)公安(款)其他公安支出(项):支出决算数为0.66万元，比上年决算增加0.66万元，增长100.00%</w:t>
      </w:r>
      <w:r>
        <w:rPr>
          <w:rFonts w:ascii="仿宋_GB2312" w:eastAsia="仿宋_GB2312"/>
          <w:sz w:val="32"/>
          <w:szCs w:val="32"/>
        </w:rPr>
        <w:t>,</w:t>
      </w:r>
      <w:r>
        <w:rPr>
          <w:rFonts w:hint="eastAsia" w:ascii="仿宋_GB2312" w:eastAsia="仿宋_GB2312"/>
          <w:sz w:val="32"/>
          <w:szCs w:val="32"/>
        </w:rPr>
        <w:t>主要原因是:2022年增加城北警务站运行项目。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4.社会保障和就业支出(类)行政事业单位养老支出(款)机关事业单位基本养老保险缴费支出(项):支出决算数为7.35万元，比上年决算增加3.76万元，增长104.74%</w:t>
      </w:r>
      <w:r>
        <w:rPr>
          <w:rFonts w:ascii="仿宋_GB2312" w:eastAsia="仿宋_GB2312"/>
          <w:sz w:val="32"/>
          <w:szCs w:val="32"/>
        </w:rPr>
        <w:t>,</w:t>
      </w:r>
      <w:r>
        <w:rPr>
          <w:rFonts w:hint="eastAsia" w:ascii="仿宋_GB2312" w:eastAsia="仿宋_GB2312"/>
          <w:sz w:val="32"/>
          <w:szCs w:val="32"/>
        </w:rPr>
        <w:t>主要原因是:2022年新增在职人员2人，工资调增，机关事业单位基本养老保险缴费支出增加。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5.卫生健康支出(类)公共卫生(款)突发公共卫生事件应急处理(项):支出决算数为12.92万元，比上年决算减少3.70万元，下降22.26%</w:t>
      </w:r>
      <w:r>
        <w:rPr>
          <w:rFonts w:ascii="仿宋_GB2312" w:eastAsia="仿宋_GB2312"/>
          <w:sz w:val="32"/>
          <w:szCs w:val="32"/>
        </w:rPr>
        <w:t>,</w:t>
      </w:r>
      <w:r>
        <w:rPr>
          <w:rFonts w:hint="eastAsia" w:ascii="仿宋_GB2312" w:eastAsia="仿宋_GB2312"/>
          <w:sz w:val="32"/>
          <w:szCs w:val="32"/>
        </w:rPr>
        <w:t>主要原因是:2022年保障资金减少。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6.卫生健康支出(类)行政事业单位医疗(款)事业单位医疗(项):支出决算数为3.12万元，比上年决算增加3.12万元，增长100.00%</w:t>
      </w:r>
      <w:r>
        <w:rPr>
          <w:rFonts w:ascii="仿宋_GB2312" w:eastAsia="仿宋_GB2312"/>
          <w:sz w:val="32"/>
          <w:szCs w:val="32"/>
        </w:rPr>
        <w:t>,</w:t>
      </w:r>
      <w:r>
        <w:rPr>
          <w:rFonts w:hint="eastAsia" w:ascii="仿宋_GB2312" w:eastAsia="仿宋_GB2312"/>
          <w:sz w:val="32"/>
          <w:szCs w:val="32"/>
        </w:rPr>
        <w:t>主要原因是:功能科目调整，上年度事业单位医疗在主款科目列支，本年度单独列支。</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7.卫生健康支出(类)行政事业单位医疗(款)公务员医疗补助(项):支出决算数为0.92万元，比上年决算增加0.92万元，增长100.00%</w:t>
      </w:r>
      <w:r>
        <w:rPr>
          <w:rFonts w:ascii="仿宋_GB2312" w:eastAsia="仿宋_GB2312"/>
          <w:sz w:val="32"/>
          <w:szCs w:val="32"/>
        </w:rPr>
        <w:t>,</w:t>
      </w:r>
      <w:r>
        <w:rPr>
          <w:rFonts w:hint="eastAsia" w:ascii="仿宋_GB2312" w:eastAsia="仿宋_GB2312"/>
          <w:sz w:val="32"/>
          <w:szCs w:val="32"/>
        </w:rPr>
        <w:t>主要原因是:功能科目调整，上年度公务员医疗补助在主款科目列支，本年度单独列支。</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8.城乡社区支出(类)城乡社区公共设施(款)小城镇基础设施建设(项):支出决算数为4,102.91万元，比上年决算增加4,053.91万元，增长8,273.29%</w:t>
      </w:r>
      <w:r>
        <w:rPr>
          <w:rFonts w:ascii="仿宋_GB2312" w:eastAsia="仿宋_GB2312"/>
          <w:sz w:val="32"/>
          <w:szCs w:val="32"/>
        </w:rPr>
        <w:t>,</w:t>
      </w:r>
      <w:r>
        <w:rPr>
          <w:rFonts w:hint="eastAsia" w:ascii="仿宋_GB2312" w:eastAsia="仿宋_GB2312"/>
          <w:sz w:val="32"/>
          <w:szCs w:val="32"/>
        </w:rPr>
        <w:t>主要原因是:2022年新增城北转化加工区公租房及配套基础设施建设项目（EPC模式）。</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9.城乡社区支出(类)城乡社区公共设施(款)其他城乡社区公共设施支出(项):支出决算数为179.94万元，比上年决算增加179.94万元，增长100.00%</w:t>
      </w:r>
      <w:r>
        <w:rPr>
          <w:rFonts w:ascii="仿宋_GB2312" w:eastAsia="仿宋_GB2312"/>
          <w:sz w:val="32"/>
          <w:szCs w:val="32"/>
        </w:rPr>
        <w:t>,</w:t>
      </w:r>
      <w:r>
        <w:rPr>
          <w:rFonts w:hint="eastAsia" w:ascii="仿宋_GB2312" w:eastAsia="仿宋_GB2312"/>
          <w:sz w:val="32"/>
          <w:szCs w:val="32"/>
        </w:rPr>
        <w:t>主要原因是:2022年新增城北片区管理服务保障项目、城北转化加工区高炮及宣传牌设置工程项目及城北公交站建设项目。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10.城乡社区支出(类)城乡社区环境卫生(款)城乡社区环境卫生(项):支出决算数为221.03万元，比上年决算增加221.03万元，增长100.00%</w:t>
      </w:r>
      <w:r>
        <w:rPr>
          <w:rFonts w:ascii="仿宋_GB2312" w:eastAsia="仿宋_GB2312"/>
          <w:sz w:val="32"/>
          <w:szCs w:val="32"/>
        </w:rPr>
        <w:t>,</w:t>
      </w:r>
      <w:r>
        <w:rPr>
          <w:rFonts w:hint="eastAsia" w:ascii="仿宋_GB2312" w:eastAsia="仿宋_GB2312"/>
          <w:sz w:val="32"/>
          <w:szCs w:val="32"/>
        </w:rPr>
        <w:t>主要原因是:2022年新增城北片区环境改造提升项目、城北转化加工区基础设施建设及配套项目（一期）道路保洁及</w:t>
      </w:r>
      <w:r>
        <w:rPr>
          <w:rFonts w:hint="eastAsia" w:ascii="仿宋_GB2312" w:eastAsia="仿宋_GB2312"/>
          <w:sz w:val="32"/>
          <w:szCs w:val="32"/>
          <w:lang w:eastAsia="zh-CN"/>
        </w:rPr>
        <w:t>安全保卫人员</w:t>
      </w:r>
      <w:r>
        <w:rPr>
          <w:rFonts w:hint="eastAsia" w:ascii="仿宋_GB2312" w:eastAsia="仿宋_GB2312"/>
          <w:sz w:val="32"/>
          <w:szCs w:val="32"/>
        </w:rPr>
        <w:t>服务采购项目。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11.住房保障支出(类)住房改革支出(款)住房公积金(项):支出决算数为6.92万元，比上年决算增加3.91万元，增长129.90%</w:t>
      </w:r>
      <w:r>
        <w:rPr>
          <w:rFonts w:ascii="仿宋_GB2312" w:eastAsia="仿宋_GB2312"/>
          <w:sz w:val="32"/>
          <w:szCs w:val="32"/>
        </w:rPr>
        <w:t>,</w:t>
      </w:r>
      <w:r>
        <w:rPr>
          <w:rFonts w:hint="eastAsia" w:ascii="仿宋_GB2312" w:eastAsia="仿宋_GB2312"/>
          <w:sz w:val="32"/>
          <w:szCs w:val="32"/>
        </w:rPr>
        <w:t>主要原因是:2022年人员工资调增，住房公积金增加。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12.一般公共服务支出(类)商贸事务(款)招商引资(项):支出决算数为0.00万元，比上年决算减少27.85万元，下降100%</w:t>
      </w:r>
      <w:r>
        <w:rPr>
          <w:rFonts w:ascii="仿宋_GB2312" w:eastAsia="仿宋_GB2312"/>
          <w:sz w:val="32"/>
          <w:szCs w:val="32"/>
        </w:rPr>
        <w:t>,</w:t>
      </w:r>
      <w:r>
        <w:rPr>
          <w:rFonts w:hint="eastAsia" w:ascii="仿宋_GB2312" w:eastAsia="仿宋_GB2312"/>
          <w:sz w:val="32"/>
          <w:szCs w:val="32"/>
        </w:rPr>
        <w:t>主要原因是:2022年未安排十一县市飞地园区招商引资经费。</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13.城乡社区支出(类)其他城乡社区支出(款)其他城乡社区支出(项):支出决算数为0.00万元，比上年决算减少5,684.67万元，下降100%</w:t>
      </w:r>
      <w:r>
        <w:rPr>
          <w:rFonts w:ascii="仿宋_GB2312" w:eastAsia="仿宋_GB2312"/>
          <w:sz w:val="32"/>
          <w:szCs w:val="32"/>
        </w:rPr>
        <w:t>,</w:t>
      </w:r>
      <w:r>
        <w:rPr>
          <w:rFonts w:hint="eastAsia" w:ascii="仿宋_GB2312" w:eastAsia="仿宋_GB2312"/>
          <w:sz w:val="32"/>
          <w:szCs w:val="32"/>
        </w:rPr>
        <w:t>主要原因是:2022年未安排十一县奖励扶持资金项目。</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76.36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75.05</w:t>
      </w:r>
      <w:r>
        <w:rPr>
          <w:rFonts w:hint="eastAsia" w:ascii="仿宋_GB2312" w:eastAsia="仿宋_GB2312"/>
          <w:sz w:val="32"/>
          <w:szCs w:val="32"/>
        </w:rPr>
        <w:t>万元，包括：基本工资、津贴补贴、奖金、绩效工资、机关事业单位基本养老保险缴费、职工基本医疗保险缴费、公务员医疗补助缴费、其他社会保障缴费、住房公积金。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公用经费1.30万元，包括：办公费、邮电费、差旅费、工会经费。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w:t>
      </w:r>
      <w:r>
        <w:rPr>
          <w:rFonts w:hint="eastAsia" w:ascii="仿宋_GB2312" w:eastAsia="仿宋_GB2312"/>
          <w:sz w:val="32"/>
          <w:szCs w:val="32"/>
          <w:lang w:eastAsia="zh-CN"/>
        </w:rPr>
        <w:t>出费</w:t>
      </w:r>
      <w:r>
        <w:rPr>
          <w:rFonts w:hint="eastAsia" w:ascii="仿宋_GB2312" w:eastAsia="仿宋_GB2312"/>
          <w:sz w:val="32"/>
          <w:szCs w:val="32"/>
        </w:rPr>
        <w:t>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w:t>
      </w:r>
      <w:r>
        <w:rPr>
          <w:rFonts w:hint="eastAsia" w:ascii="仿宋_GB2312" w:eastAsia="仿宋_GB2312"/>
          <w:sz w:val="32"/>
          <w:szCs w:val="32"/>
          <w:lang w:eastAsia="zh-CN"/>
        </w:rPr>
        <w:t>出费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w:t>
      </w:r>
      <w:r>
        <w:rPr>
          <w:rFonts w:hint="eastAsia" w:ascii="仿宋_GB2312" w:eastAsia="仿宋_GB2312"/>
          <w:sz w:val="32"/>
          <w:szCs w:val="32"/>
          <w:lang w:eastAsia="zh-CN"/>
        </w:rPr>
        <w:t>出费</w:t>
      </w:r>
      <w:r>
        <w:rPr>
          <w:rFonts w:hint="eastAsia" w:ascii="仿宋_GB2312" w:eastAsia="仿宋_GB2312"/>
          <w:sz w:val="32"/>
          <w:szCs w:val="32"/>
        </w:rPr>
        <w:t>支出</w:t>
      </w:r>
      <w:r>
        <w:rPr>
          <w:rFonts w:ascii="仿宋_GB2312" w:eastAsia="仿宋_GB2312"/>
          <w:sz w:val="32"/>
          <w:szCs w:val="32"/>
        </w:rPr>
        <w:t>0.00</w:t>
      </w:r>
      <w:r>
        <w:rPr>
          <w:rFonts w:hint="eastAsia" w:ascii="仿宋_GB2312" w:eastAsia="仿宋_GB2312"/>
          <w:sz w:val="32"/>
          <w:szCs w:val="32"/>
        </w:rPr>
        <w:t>万元，开支内容包括我单位无因公</w:t>
      </w:r>
      <w:r>
        <w:rPr>
          <w:rFonts w:hint="eastAsia" w:ascii="仿宋_GB2312" w:eastAsia="仿宋_GB2312"/>
          <w:sz w:val="32"/>
          <w:szCs w:val="32"/>
          <w:lang w:eastAsia="zh-CN"/>
        </w:rPr>
        <w:t>出费</w:t>
      </w:r>
      <w:r>
        <w:rPr>
          <w:rFonts w:hint="eastAsia" w:ascii="仿宋_GB2312" w:eastAsia="仿宋_GB2312"/>
          <w:sz w:val="32"/>
          <w:szCs w:val="32"/>
        </w:rPr>
        <w:t>。单位全年安排的因公团组</w:t>
      </w:r>
      <w:r>
        <w:rPr>
          <w:rFonts w:ascii="仿宋_GB2312" w:eastAsia="仿宋_GB2312"/>
          <w:sz w:val="32"/>
          <w:szCs w:val="32"/>
        </w:rPr>
        <w:t>0</w:t>
      </w:r>
      <w:r>
        <w:rPr>
          <w:rFonts w:hint="eastAsia" w:ascii="仿宋_GB2312" w:eastAsia="仿宋_GB2312"/>
          <w:sz w:val="32"/>
          <w:szCs w:val="32"/>
        </w:rPr>
        <w:t>个，因公0人次。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w:t>
      </w:r>
      <w:r>
        <w:rPr>
          <w:rFonts w:hint="eastAsia" w:ascii="仿宋_GB2312" w:hAnsi="宋体" w:eastAsia="仿宋_GB2312" w:cs="宋体"/>
          <w:kern w:val="0"/>
          <w:sz w:val="32"/>
          <w:szCs w:val="32"/>
          <w:lang w:eastAsia="zh-CN"/>
        </w:rPr>
        <w:t>出费</w:t>
      </w:r>
      <w:r>
        <w:rPr>
          <w:rFonts w:hint="eastAsia" w:ascii="仿宋_GB2312" w:hAnsi="宋体" w:eastAsia="仿宋_GB2312" w:cs="宋体"/>
          <w:kern w:val="0"/>
          <w:sz w:val="32"/>
          <w:szCs w:val="32"/>
        </w:rPr>
        <w:t>全年预算数</w:t>
      </w:r>
      <w:r>
        <w:rPr>
          <w:rFonts w:hint="eastAsia" w:ascii="仿宋_GB2312" w:eastAsia="仿宋_GB2312"/>
          <w:sz w:val="32"/>
          <w:szCs w:val="32"/>
        </w:rPr>
        <w:t>0.00万元，决算数0.00万元，预决算差异率0.00%，主要原因是：我单位无因公</w:t>
      </w:r>
      <w:r>
        <w:rPr>
          <w:rFonts w:hint="eastAsia" w:ascii="仿宋_GB2312" w:eastAsia="仿宋_GB2312"/>
          <w:sz w:val="32"/>
          <w:szCs w:val="32"/>
          <w:lang w:eastAsia="zh-CN"/>
        </w:rPr>
        <w:t>出费</w:t>
      </w:r>
      <w:r>
        <w:rPr>
          <w:rFonts w:hint="eastAsia" w:ascii="仿宋_GB2312" w:eastAsia="仿宋_GB2312"/>
          <w:sz w:val="32"/>
          <w:szCs w:val="32"/>
        </w:rPr>
        <w:t>；</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2022年度新疆城北转化加工区管理服务中心（事业单位）公用经费1.30万元，比上年减少1.77万元，下降57.65%，主要原因是：厉行勤俭节约，减少办公费等公用经费。</w:t>
      </w:r>
    </w:p>
    <w:p>
      <w:pPr>
        <w:ind w:firstLine="800" w:firstLineChars="250"/>
        <w:outlineLvl w:val="2"/>
        <w:rPr>
          <w:rFonts w:ascii="黑体" w:hAnsi="黑体" w:eastAsia="黑体"/>
          <w:sz w:val="32"/>
          <w:szCs w:val="32"/>
        </w:rPr>
      </w:pPr>
      <w:bookmarkStart w:id="24" w:name="_Toc227"/>
      <w:bookmarkStart w:id="25" w:name="_Toc26704"/>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455.97</w:t>
      </w:r>
      <w:r>
        <w:rPr>
          <w:rFonts w:hint="eastAsia" w:ascii="仿宋_GB2312" w:eastAsia="仿宋_GB2312"/>
          <w:sz w:val="32"/>
          <w:szCs w:val="32"/>
        </w:rPr>
        <w:t>万元，其中：政府采购货物支出</w:t>
      </w:r>
      <w:r>
        <w:rPr>
          <w:rFonts w:ascii="仿宋_GB2312" w:eastAsia="仿宋_GB2312"/>
          <w:sz w:val="32"/>
          <w:szCs w:val="32"/>
        </w:rPr>
        <w:t>28.09</w:t>
      </w:r>
      <w:r>
        <w:rPr>
          <w:rFonts w:hint="eastAsia" w:ascii="仿宋_GB2312" w:eastAsia="仿宋_GB2312"/>
          <w:sz w:val="32"/>
          <w:szCs w:val="32"/>
        </w:rPr>
        <w:t>万元、政府采购工程支出</w:t>
      </w:r>
      <w:r>
        <w:rPr>
          <w:rFonts w:ascii="仿宋_GB2312" w:eastAsia="仿宋_GB2312"/>
          <w:sz w:val="32"/>
          <w:szCs w:val="32"/>
        </w:rPr>
        <w:t>183.85</w:t>
      </w:r>
      <w:r>
        <w:rPr>
          <w:rFonts w:hint="eastAsia" w:ascii="仿宋_GB2312" w:eastAsia="仿宋_GB2312"/>
          <w:sz w:val="32"/>
          <w:szCs w:val="32"/>
        </w:rPr>
        <w:t>万元、政府采购服务支出</w:t>
      </w:r>
      <w:r>
        <w:rPr>
          <w:rFonts w:ascii="仿宋_GB2312" w:eastAsia="仿宋_GB2312"/>
          <w:sz w:val="32"/>
          <w:szCs w:val="32"/>
        </w:rPr>
        <w:t>244.03</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440.92</w:t>
      </w:r>
      <w:r>
        <w:rPr>
          <w:rFonts w:hint="eastAsia" w:ascii="仿宋_GB2312" w:eastAsia="仿宋_GB2312"/>
          <w:sz w:val="32"/>
          <w:szCs w:val="32"/>
        </w:rPr>
        <w:t>万元，占政府采购支出总额的</w:t>
      </w:r>
      <w:r>
        <w:rPr>
          <w:rFonts w:ascii="仿宋_GB2312" w:eastAsia="仿宋_GB2312"/>
          <w:sz w:val="32"/>
          <w:szCs w:val="32"/>
        </w:rPr>
        <w:t>96.70</w:t>
      </w:r>
      <w:r>
        <w:rPr>
          <w:rFonts w:hint="eastAsia" w:ascii="仿宋_GB2312" w:eastAsia="仿宋_GB2312"/>
          <w:sz w:val="32"/>
          <w:szCs w:val="32"/>
        </w:rPr>
        <w:t>%，其中：授予小微企业合同金额</w:t>
      </w:r>
      <w:r>
        <w:rPr>
          <w:rFonts w:ascii="仿宋_GB2312" w:eastAsia="仿宋_GB2312"/>
          <w:sz w:val="32"/>
          <w:szCs w:val="32"/>
        </w:rPr>
        <w:t>440.92</w:t>
      </w:r>
      <w:r>
        <w:rPr>
          <w:rFonts w:hint="eastAsia" w:ascii="仿宋_GB2312" w:eastAsia="仿宋_GB2312"/>
          <w:sz w:val="32"/>
          <w:szCs w:val="32"/>
        </w:rPr>
        <w:t>万元，占政府采购支出总额的</w:t>
      </w:r>
      <w:r>
        <w:rPr>
          <w:rFonts w:ascii="仿宋_GB2312" w:eastAsia="仿宋_GB2312"/>
          <w:sz w:val="32"/>
          <w:szCs w:val="32"/>
        </w:rPr>
        <w:t>96.70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4591"/>
      <w:bookmarkStart w:id="27" w:name="_Toc83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截止2022年12月31日，固定资产原值149.15万元，房屋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9</w:t>
      </w:r>
      <w:r>
        <w:rPr>
          <w:rFonts w:hint="eastAsia" w:ascii="仿宋_GB2312" w:eastAsia="仿宋_GB2312"/>
          <w:sz w:val="32"/>
          <w:szCs w:val="32"/>
        </w:rPr>
        <w:t>个，全年预算数4,546.36万元，全年执行数4,524.41万元。预算绩效管理取得的成效：</w:t>
      </w:r>
      <w:r>
        <w:rPr>
          <w:rFonts w:ascii="仿宋_GB2312" w:eastAsia="仿宋_GB2312"/>
          <w:sz w:val="32"/>
          <w:szCs w:val="32"/>
        </w:rPr>
        <w:t>一是通过部门项目支出绩效评价，进一步纠正对绩效管理理解上的偏差，建立更加全面科学的绩效指标体系，督促在预算编制中，将资金申请、绩效目标和具体指标统筹考虑，形成“花钱问效”的责任契约机制，二是进一步强化了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eastAsia="仿宋_GB2312"/>
          <w:sz w:val="32"/>
          <w:szCs w:val="32"/>
        </w:rPr>
        <w:t>。发现的问题及原因：</w:t>
      </w:r>
      <w:r>
        <w:rPr>
          <w:rFonts w:ascii="仿宋_GB2312" w:eastAsia="仿宋_GB2312"/>
          <w:sz w:val="32"/>
          <w:szCs w:val="32"/>
        </w:rPr>
        <w:t>一是在绩效目标编制方面，针对绩效目标设置指向不清、预算和目标匹配不足，数量目标和质量目标量化不细，效益目标编制不完整；二是单位对绩效管理认识不够，没有将绩效管理的成果运用到项目决策部署上</w:t>
      </w:r>
      <w:r>
        <w:rPr>
          <w:rFonts w:hint="eastAsia" w:ascii="仿宋_GB2312" w:eastAsia="仿宋_GB2312"/>
          <w:sz w:val="32"/>
          <w:szCs w:val="32"/>
        </w:rPr>
        <w:t>。下一步改进措施：</w:t>
      </w:r>
      <w:r>
        <w:rPr>
          <w:rFonts w:ascii="仿宋_GB2312" w:eastAsia="仿宋_GB2312"/>
          <w:sz w:val="32"/>
          <w:szCs w:val="32"/>
        </w:rPr>
        <w:t>一是加强预算绩效动态监控管理，及时跟踪项目进度，对项目实施中存在的具体问题采取纠偏措施；二是对相关专业技术人员的业务培训，进一步提高预算绩效评价质量，不断提高绩效管理成果的运用</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p>
    <w:tbl>
      <w:tblPr>
        <w:tblStyle w:val="9"/>
        <w:tblW w:w="10051" w:type="dxa"/>
        <w:jc w:val="center"/>
        <w:tblInd w:w="0" w:type="dxa"/>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项目支出绩效自评表</w:t>
            </w:r>
          </w:p>
        </w:tc>
      </w:tr>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城北公交站台建设项目</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r>
      <w:tr>
        <w:tblPrEx>
          <w:tblLayout w:type="fixed"/>
          <w:tblCellMar>
            <w:top w:w="0" w:type="dxa"/>
            <w:left w:w="108" w:type="dxa"/>
            <w:bottom w:w="0" w:type="dxa"/>
            <w:right w:w="108" w:type="dxa"/>
          </w:tblCellMar>
        </w:tblPrEx>
        <w:trPr>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45.70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45.60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99.78%</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9.98分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45.70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45.60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Layout w:type="fixed"/>
          <w:tblCellMar>
            <w:top w:w="0" w:type="dxa"/>
            <w:left w:w="108" w:type="dxa"/>
            <w:bottom w:w="0" w:type="dxa"/>
            <w:right w:w="108" w:type="dxa"/>
          </w:tblCellMar>
        </w:tblPrEx>
        <w:trPr>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预算45.60万元，用于在城北片区建设公交站台，采购并安装16套公交站台设施。通过实施该项目完善城北公交站台设施，推进城北片区基础设施配套，改善城北环境条件，营造良好的发展环境，提升对外宣传能力。</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截止2022年12月31日，已完成采购安装16套公交站台设施费用支付，支付资金45.6万元。完善城北公交站台设施，推进城北片区基础设施配套，改善城北环境条件，营造良好的发展环境，提升对外宣传能力。</w:t>
            </w:r>
          </w:p>
        </w:tc>
      </w:tr>
      <w:tr>
        <w:tblPrEx>
          <w:tblLayout w:type="fixed"/>
          <w:tblCellMar>
            <w:top w:w="0" w:type="dxa"/>
            <w:left w:w="108" w:type="dxa"/>
            <w:bottom w:w="0" w:type="dxa"/>
            <w:right w:w="108" w:type="dxa"/>
          </w:tblCellMar>
        </w:tblPrEx>
        <w:trPr>
          <w:trHeight w:val="312" w:hRule="atLeast"/>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Layout w:type="fixed"/>
          <w:tblCellMar>
            <w:top w:w="0" w:type="dxa"/>
            <w:left w:w="108" w:type="dxa"/>
            <w:bottom w:w="0" w:type="dxa"/>
            <w:right w:w="108" w:type="dxa"/>
          </w:tblCellMar>
        </w:tblPrEx>
        <w:trPr>
          <w:trHeight w:val="312" w:hRule="atLeast"/>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购置公交站台设施数量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=16套</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16套</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购置质量合格率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购置验收通过率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公交站台采购完成时间</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2022年9月20日</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2022年9月20日</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单个公交站台建设成本</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&lt;=2.85万元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2.85万元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公共服务水平提升情况</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99.98分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Ind w:w="0" w:type="dxa"/>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项目支出绩效自评表</w:t>
            </w:r>
          </w:p>
        </w:tc>
      </w:tr>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城北加工转化区宣传门头建设项目</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r>
      <w:tr>
        <w:tblPrEx>
          <w:tblLayout w:type="fixed"/>
          <w:tblCellMar>
            <w:top w:w="0" w:type="dxa"/>
            <w:left w:w="108" w:type="dxa"/>
            <w:bottom w:w="0" w:type="dxa"/>
            <w:right w:w="108" w:type="dxa"/>
          </w:tblCellMar>
        </w:tblPrEx>
        <w:trPr>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102.91</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102.91</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102.91</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102.91</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Layout w:type="fixed"/>
          <w:tblCellMar>
            <w:top w:w="0" w:type="dxa"/>
            <w:left w:w="108" w:type="dxa"/>
            <w:bottom w:w="0" w:type="dxa"/>
            <w:right w:w="108" w:type="dxa"/>
          </w:tblCellMar>
        </w:tblPrEx>
        <w:trPr>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预算102.91万元，用于城北加工转化区丝路大桥桥头、城东大道恰克玛克河东桥桥头新建2座网架钢结构门头，项目占地面积38.34平方米，长21.3米，宽1.8米，层高13.5米，外装铝塑板600*600厚3.0包装，并安装LED显示屏。通过实施该项目提升片区环境面容，完善功能配套，提高公共服务水平与质量，增强招商引资吸引力。</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截止2022年12月31日，已完成2座网架钢结构门头建设，支付资金102.91万元。提升片区环境面容，完善功能配套，提高公共服务水平与质量，增强招商引资吸引力。</w:t>
            </w:r>
          </w:p>
        </w:tc>
      </w:tr>
      <w:tr>
        <w:tblPrEx>
          <w:tblLayout w:type="fixed"/>
          <w:tblCellMar>
            <w:top w:w="0" w:type="dxa"/>
            <w:left w:w="108" w:type="dxa"/>
            <w:bottom w:w="0" w:type="dxa"/>
            <w:right w:w="108" w:type="dxa"/>
          </w:tblCellMar>
        </w:tblPrEx>
        <w:trPr>
          <w:trHeight w:val="312" w:hRule="atLeast"/>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Layout w:type="fixed"/>
          <w:tblCellMar>
            <w:top w:w="0" w:type="dxa"/>
            <w:left w:w="108" w:type="dxa"/>
            <w:bottom w:w="0" w:type="dxa"/>
            <w:right w:w="108" w:type="dxa"/>
          </w:tblCellMar>
        </w:tblPrEx>
        <w:trPr>
          <w:trHeight w:val="312" w:hRule="atLeast"/>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建设宣传门头面积</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=38.34平方米</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38.34平方米</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建设宣传门头数量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2座</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竣工验收合格率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项目资金支付率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&gt;=97%</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支付资金及时，出现正偏差。</w:t>
            </w: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项目按计划开工时间</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2022年8月31日前</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2022年8月12日</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项目按计划完工时间</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2022年9月30日前</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2022年9月12日</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项目建设费用支出</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&lt;=97.04万元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97.04万元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项目设计费</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&lt;=3.10万元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项目监理费</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&lt;=2.77万元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2.77万元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提升城北展示形象与环境效果</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Ind w:w="0" w:type="dxa"/>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项目支出绩效自评表</w:t>
            </w:r>
          </w:p>
        </w:tc>
      </w:tr>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城北片区管理服务保障项目</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r>
      <w:tr>
        <w:tblPrEx>
          <w:tblLayout w:type="fixed"/>
          <w:tblCellMar>
            <w:top w:w="0" w:type="dxa"/>
            <w:left w:w="108" w:type="dxa"/>
            <w:bottom w:w="0" w:type="dxa"/>
            <w:right w:w="108" w:type="dxa"/>
          </w:tblCellMar>
        </w:tblPrEx>
        <w:trPr>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504.25</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57.43</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57.43</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504.25</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57.43</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57.43</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Layout w:type="fixed"/>
          <w:tblCellMar>
            <w:top w:w="0" w:type="dxa"/>
            <w:left w:w="108" w:type="dxa"/>
            <w:bottom w:w="0" w:type="dxa"/>
            <w:right w:w="108" w:type="dxa"/>
          </w:tblCellMar>
        </w:tblPrEx>
        <w:trPr>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该项目预算57.43万元，用于支付园区</w:t>
            </w: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16人；中心、环卫、社区、卫生院等公共设施监控、讯、水暖气、设备、物业、垃圾清洁等、一键报警器、培训等稳定安全费、第三方等保障服务。通过实施本项目有效提升业务保障能力，提高城北公共服务能力和服务质量，加强城北保卫治安防控，提高三项重点工作效能。</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截止2022年12月31日，已完成园区</w:t>
            </w: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16人、制作安装400个道路路灯灯牌、3辆电瓶车、1台打印机、展厅沙盘改造提升、交通信号灯稳定安全等费用支付，支付资金57.43万元。提升业务保障能力，提高城北公共服务能力和服务质量，加强城北保卫治安防控，提高三项重点工作效能。</w:t>
            </w:r>
          </w:p>
        </w:tc>
      </w:tr>
      <w:tr>
        <w:tblPrEx>
          <w:tblLayout w:type="fixed"/>
          <w:tblCellMar>
            <w:top w:w="0" w:type="dxa"/>
            <w:left w:w="108" w:type="dxa"/>
            <w:bottom w:w="0" w:type="dxa"/>
            <w:right w:w="108" w:type="dxa"/>
          </w:tblCellMar>
        </w:tblPrEx>
        <w:trPr>
          <w:trHeight w:val="312" w:hRule="atLeast"/>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Layout w:type="fixed"/>
          <w:tblCellMar>
            <w:top w:w="0" w:type="dxa"/>
            <w:left w:w="108" w:type="dxa"/>
            <w:bottom w:w="0" w:type="dxa"/>
            <w:right w:w="108" w:type="dxa"/>
          </w:tblCellMar>
        </w:tblPrEx>
        <w:trPr>
          <w:trHeight w:val="312" w:hRule="atLeast"/>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聘用</w:t>
            </w: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人数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&gt;=16人</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16人</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提供片区公共服务数量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&gt;=3项</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3项</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2022年11月30日前</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2022年11月26日</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劳务费支出</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&lt;=21.36万元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21.36万元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片区各项公共服务费用</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&lt;=36.07万元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36.07万元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公共服务水平提升情况</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业务保障能力提升情况</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片区内人员满意度</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95.24%</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Ind w:w="0" w:type="dxa"/>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项目支出绩效自评表</w:t>
            </w:r>
          </w:p>
        </w:tc>
      </w:tr>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城北片区环境改造提升项目</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r>
      <w:tr>
        <w:tblPrEx>
          <w:tblLayout w:type="fixed"/>
          <w:tblCellMar>
            <w:top w:w="0" w:type="dxa"/>
            <w:left w:w="108" w:type="dxa"/>
            <w:bottom w:w="0" w:type="dxa"/>
            <w:right w:w="108" w:type="dxa"/>
          </w:tblCellMar>
        </w:tblPrEx>
        <w:trPr>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203.16</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148.64</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148.64</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203.16</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148.64</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148.64</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Layout w:type="fixed"/>
          <w:tblCellMar>
            <w:top w:w="0" w:type="dxa"/>
            <w:left w:w="108" w:type="dxa"/>
            <w:bottom w:w="0" w:type="dxa"/>
            <w:right w:w="108" w:type="dxa"/>
          </w:tblCellMar>
        </w:tblPrEx>
        <w:trPr>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预算148.64万元，用于支付市政抢维修、应急救援、保洁服务、道路两侧垃圾桶安装、园区内各类公共服务设备设施安装、消防及保洁取水点建设、展示馆社区环卫等公共配套区域绿化实施养护、消防设施等费用；区内维护、设施设备运行保养（防水屋面路面线路维修等）、场地平整等物业服务城北片区环境改造提升方面支出。通过实施该项目改善美化环境，提升片区环境面容，完善功能配套，提高公共服务水平与质量。</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已完成园区养护保洁面积545232平方米、保洁服务、道路两侧60个垃圾桶安装等，支付资金148.64万元。通过实施本项目可以改善美化环境，提升片区环境面容，完善功能配套，提高公共服务水平与质量。</w:t>
            </w:r>
          </w:p>
        </w:tc>
      </w:tr>
      <w:tr>
        <w:tblPrEx>
          <w:tblLayout w:type="fixed"/>
          <w:tblCellMar>
            <w:top w:w="0" w:type="dxa"/>
            <w:left w:w="108" w:type="dxa"/>
            <w:bottom w:w="0" w:type="dxa"/>
            <w:right w:w="108" w:type="dxa"/>
          </w:tblCellMar>
        </w:tblPrEx>
        <w:trPr>
          <w:trHeight w:val="312" w:hRule="atLeast"/>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Layout w:type="fixed"/>
          <w:tblCellMar>
            <w:top w:w="0" w:type="dxa"/>
            <w:left w:w="108" w:type="dxa"/>
            <w:bottom w:w="0" w:type="dxa"/>
            <w:right w:w="108" w:type="dxa"/>
          </w:tblCellMar>
        </w:tblPrEx>
        <w:trPr>
          <w:trHeight w:val="312" w:hRule="atLeast"/>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园区养护保洁面积</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&gt;=545232平方米</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545232平方米</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购置垃圾桶数量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&gt;=60个</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60个</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项目合格率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园区养护保洁费用</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&lt;=144.74万元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148.64万元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每套垃圾桶购置费用</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&lt;=800元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650元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8.13</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经过多方询价，有效降低了成本。</w:t>
            </w: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提高公共服务水平</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区内人员满意度</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我单位按照实施方案进行，区内人员特别满意，继续保持。</w:t>
            </w:r>
          </w:p>
        </w:tc>
      </w:tr>
      <w:tr>
        <w:tblPrEx>
          <w:tblLayout w:type="fixed"/>
          <w:tblCellMar>
            <w:top w:w="0" w:type="dxa"/>
            <w:left w:w="108" w:type="dxa"/>
            <w:bottom w:w="0" w:type="dxa"/>
            <w:right w:w="108" w:type="dxa"/>
          </w:tblCellMar>
        </w:tblPrEx>
        <w:trPr>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98.13分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Ind w:w="0" w:type="dxa"/>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项目支出绩效自评表</w:t>
            </w:r>
          </w:p>
        </w:tc>
      </w:tr>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城北转化加工区高炮及宣传牌设置工程项目</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r>
      <w:tr>
        <w:tblPrEx>
          <w:tblLayout w:type="fixed"/>
          <w:tblCellMar>
            <w:top w:w="0" w:type="dxa"/>
            <w:left w:w="108" w:type="dxa"/>
            <w:bottom w:w="0" w:type="dxa"/>
            <w:right w:w="108" w:type="dxa"/>
          </w:tblCellMar>
        </w:tblPrEx>
        <w:trPr>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96.14</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76.91</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80.00%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8.00分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96.14</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76.91</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Layout w:type="fixed"/>
          <w:tblCellMar>
            <w:top w:w="0" w:type="dxa"/>
            <w:left w:w="108" w:type="dxa"/>
            <w:bottom w:w="0" w:type="dxa"/>
            <w:right w:w="108" w:type="dxa"/>
          </w:tblCellMar>
        </w:tblPrEx>
        <w:trPr>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资金96.14万元，主要用于在城北展厅楼顶安装发光字体14个，展厅内部安装展架123.80平方米，雄安大道两侧制作安装宣传牌（高炮）1200平方米，以及基础开挖、浇筑等附属配套设施。提升宣传展示展厅形象与环境，吸引更多企业在经济开发区安家落户，将城北转化加工区打造为喀什经济新的增长点。</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时间2022年12月31日，已完成城北展厅楼顶安装发光字体14个、展厅内部安装展架123.80平方米、雄安大道两侧制作安装宣传牌（高炮）1200平方米、以及基础开挖、浇筑等附属配套设施费用支付，支付资金76.91万元。提升宣传展示展厅形象与环境，吸引更多企业在经济开发区安家落户，将城北转化加工区打造为喀什经济新的增长点。</w:t>
            </w:r>
          </w:p>
        </w:tc>
      </w:tr>
      <w:tr>
        <w:tblPrEx>
          <w:tblLayout w:type="fixed"/>
          <w:tblCellMar>
            <w:top w:w="0" w:type="dxa"/>
            <w:left w:w="108" w:type="dxa"/>
            <w:bottom w:w="0" w:type="dxa"/>
            <w:right w:w="108" w:type="dxa"/>
          </w:tblCellMar>
        </w:tblPrEx>
        <w:trPr>
          <w:trHeight w:val="312" w:hRule="atLeast"/>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Layout w:type="fixed"/>
          <w:tblCellMar>
            <w:top w:w="0" w:type="dxa"/>
            <w:left w:w="108" w:type="dxa"/>
            <w:bottom w:w="0" w:type="dxa"/>
            <w:right w:w="108" w:type="dxa"/>
          </w:tblCellMar>
        </w:tblPrEx>
        <w:trPr>
          <w:trHeight w:val="312" w:hRule="atLeast"/>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建设工程数量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&gt;=3个</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3个</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安装发光字体数量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=14个</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14个</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展厅安装展架面积</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&gt;=123.80平方米</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123.8平方米</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制作安装宣传牌</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&gt;=1200平方米</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1200平方米</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竣工验收合格率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项目按计划开工时间</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2022年1月</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2022年1月</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项目按计划完工时间</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2022年4月底前</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2022年4月10日</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展架安装费用</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&lt;=6.42万元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4.67</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项目已完工并验收，完成支付80%进度款，审计暂未完成，剩余资金未支付。加快审计完成，提高剩余资金支付情况。</w:t>
            </w: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宣传牌费用</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&lt;=86.42万元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68.41万元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2.37</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项目已完工并验收，完成支付80%进度款，审计暂未完成，剩余资金未支付。加快审计完成，提高剩余资金支付情况。</w:t>
            </w: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展厅楼顶安装发光字体</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&lt;=3.30万元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1.52</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项目已完工并验收，完成支付80%进度款，审计暂未完成，剩余资金未支付。加快审计完成，提高剩余资金支付情况。</w:t>
            </w: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提升开发区展示形象与环境效果</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达成年度指标</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29.7</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项目已完工并验收，完成支付80%进度款，审计暂未完成，剩余资金未支付。加快审计完成，提高剩余资金支付情况。</w:t>
            </w: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参观展厅人员满意度</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我单位按照实施方案实施，参观展厅人员特别满意，继续保持。</w:t>
            </w:r>
          </w:p>
        </w:tc>
      </w:tr>
      <w:tr>
        <w:tblPrEx>
          <w:tblLayout w:type="fixed"/>
          <w:tblCellMar>
            <w:top w:w="0" w:type="dxa"/>
            <w:left w:w="108" w:type="dxa"/>
            <w:bottom w:w="0" w:type="dxa"/>
            <w:right w:w="108" w:type="dxa"/>
          </w:tblCellMar>
        </w:tblPrEx>
        <w:trPr>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96.26分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Ind w:w="0" w:type="dxa"/>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项目支出绩效自评表</w:t>
            </w:r>
          </w:p>
        </w:tc>
      </w:tr>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城北转化加工区公租房及配套基础设施建设项目（EPC模式)</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r>
      <w:tr>
        <w:tblPrEx>
          <w:tblLayout w:type="fixed"/>
          <w:tblCellMar>
            <w:top w:w="0" w:type="dxa"/>
            <w:left w:w="108" w:type="dxa"/>
            <w:bottom w:w="0" w:type="dxa"/>
            <w:right w:w="108" w:type="dxa"/>
          </w:tblCellMar>
        </w:tblPrEx>
        <w:trPr>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Layout w:type="fixed"/>
          <w:tblCellMar>
            <w:top w:w="0" w:type="dxa"/>
            <w:left w:w="108" w:type="dxa"/>
            <w:bottom w:w="0" w:type="dxa"/>
            <w:right w:w="108" w:type="dxa"/>
          </w:tblCellMar>
        </w:tblPrEx>
        <w:trPr>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年预算4000万元，用于喀什经济开发区城北转化加工区公租房及配套基础设施建设项目(EPC模式)奖补9个县市。通过实施该项目加快公租房建设，提升员工住房保障能力，进一步推动园区建设和产业发展，促进十一县产业园更好更快发展。</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已完成喀什经济开发区城北转化加工区公租房及配套基础设施建设项目(EPC模式)9个县市奖补。加快公租房建设，提升员工住房保障能力，进一步推动园区建设和产业发展，促进十一县产业园更好更快发展。</w:t>
            </w:r>
          </w:p>
        </w:tc>
      </w:tr>
      <w:tr>
        <w:tblPrEx>
          <w:tblLayout w:type="fixed"/>
          <w:tblCellMar>
            <w:top w:w="0" w:type="dxa"/>
            <w:left w:w="108" w:type="dxa"/>
            <w:bottom w:w="0" w:type="dxa"/>
            <w:right w:w="108" w:type="dxa"/>
          </w:tblCellMar>
        </w:tblPrEx>
        <w:trPr>
          <w:trHeight w:val="312" w:hRule="atLeast"/>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Layout w:type="fixed"/>
          <w:tblCellMar>
            <w:top w:w="0" w:type="dxa"/>
            <w:left w:w="108" w:type="dxa"/>
            <w:bottom w:w="0" w:type="dxa"/>
            <w:right w:w="108" w:type="dxa"/>
          </w:tblCellMar>
        </w:tblPrEx>
        <w:trPr>
          <w:trHeight w:val="312" w:hRule="atLeast"/>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奖补县市数量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&gt;=9个</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9个</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资金使用合规性</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12月25日前</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2022年9月30日</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奖励扶持资金成本</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&lt;=4000万元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4000万元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项目预算控制率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提升员工住房保障能力</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Ind w:w="0" w:type="dxa"/>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项目支出绩效自评表</w:t>
            </w:r>
          </w:p>
        </w:tc>
      </w:tr>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城北转化加工区基础设施建设及配套项目（一期）道路保洁及</w:t>
            </w: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服务采购项目</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r>
      <w:tr>
        <w:tblPrEx>
          <w:tblLayout w:type="fixed"/>
          <w:tblCellMar>
            <w:top w:w="0" w:type="dxa"/>
            <w:left w:w="108" w:type="dxa"/>
            <w:bottom w:w="0" w:type="dxa"/>
            <w:right w:w="108" w:type="dxa"/>
          </w:tblCellMar>
        </w:tblPrEx>
        <w:trPr>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75.01</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75.01</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72.39</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96.51%</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9.65分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75.01</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75.01</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72.39</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Layout w:type="fixed"/>
          <w:tblCellMar>
            <w:top w:w="0" w:type="dxa"/>
            <w:left w:w="108" w:type="dxa"/>
            <w:bottom w:w="0" w:type="dxa"/>
            <w:right w:w="108" w:type="dxa"/>
          </w:tblCellMar>
        </w:tblPrEx>
        <w:trPr>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本年预算75.01万元，用于支付241968平方米道路（雄安大道一期、山东路、上海西路、广东路机动车道及人非共板）及周边配套的保洁、路面洒水养护及垃圾处理，10名</w:t>
            </w: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6个月服务费用，包含基本工资＋社保＋服装＋防护器械。通过实施本项目可以保障提升城北片区安全管理，保持区内整洁，改善环境，提升区内环境面容。</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截止2022年12月31日，已完成241968平方米道路及周边配套的保洁、路面洒水养护及垃圾处理，10名</w:t>
            </w: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6个月服务费用支付，支付资金72.39万元。保障提升城北片区安全管理，保持区内整洁，改善环境，提升区内环境面容。</w:t>
            </w:r>
          </w:p>
        </w:tc>
      </w:tr>
      <w:tr>
        <w:tblPrEx>
          <w:tblLayout w:type="fixed"/>
          <w:tblCellMar>
            <w:top w:w="0" w:type="dxa"/>
            <w:left w:w="108" w:type="dxa"/>
            <w:bottom w:w="0" w:type="dxa"/>
            <w:right w:w="108" w:type="dxa"/>
          </w:tblCellMar>
        </w:tblPrEx>
        <w:trPr>
          <w:trHeight w:val="312" w:hRule="atLeast"/>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Layout w:type="fixed"/>
          <w:tblCellMar>
            <w:top w:w="0" w:type="dxa"/>
            <w:left w:w="108" w:type="dxa"/>
            <w:bottom w:w="0" w:type="dxa"/>
            <w:right w:w="108" w:type="dxa"/>
          </w:tblCellMar>
        </w:tblPrEx>
        <w:trPr>
          <w:trHeight w:val="312" w:hRule="atLeast"/>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养护道路面积</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&gt;=241968平方米</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241968平方米</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聘用</w:t>
            </w:r>
            <w:bookmarkStart w:id="50" w:name="_GoBack"/>
            <w:bookmarkEnd w:id="50"/>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人数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&gt;=10人</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10人</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道路养护质量达标率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服务费发放到位率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服务费发放及时率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道路养护及时率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道路养护费用</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&lt;=60.01万元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59万元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年初预算根据合同金额申请，但因该项目每月验收结果不同，资金支付根据验收评分相对应的管理办法评分进行支付相应费用，部分资金未支付。后续严格按项目进度执行预算,增强预算的约束力和严肃性。</w:t>
            </w: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服务费</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&lt;=15万元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13.39万元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2.68</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年初预算根据合同金额申请，但因该项目每月验收结果不同，资金支付根据验收评分相对应的管理办法评分进行支付相应费用，部分资金未支付。后续严格按项目进度执行预算,增强预算的约束力和严肃性。</w:t>
            </w: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提高安全管理水平</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园区群众满意度</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我单位按照实施方案实施，园区群众特别满意，继续保持。</w:t>
            </w:r>
          </w:p>
        </w:tc>
      </w:tr>
      <w:tr>
        <w:tblPrEx>
          <w:tblLayout w:type="fixed"/>
          <w:tblCellMar>
            <w:top w:w="0" w:type="dxa"/>
            <w:left w:w="108" w:type="dxa"/>
            <w:bottom w:w="0" w:type="dxa"/>
            <w:right w:w="108" w:type="dxa"/>
          </w:tblCellMar>
        </w:tblPrEx>
        <w:trPr>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99.28分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Ind w:w="0" w:type="dxa"/>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项目支出绩效自评表</w:t>
            </w:r>
          </w:p>
        </w:tc>
      </w:tr>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城北聘用</w:t>
            </w: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服务项目</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r>
      <w:tr>
        <w:tblPrEx>
          <w:tblLayout w:type="fixed"/>
          <w:tblCellMar>
            <w:top w:w="0" w:type="dxa"/>
            <w:left w:w="108" w:type="dxa"/>
            <w:bottom w:w="0" w:type="dxa"/>
            <w:right w:w="108" w:type="dxa"/>
          </w:tblCellMar>
        </w:tblPrEx>
        <w:trPr>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5.54</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5.54</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5.54</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5.54</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5.54</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5.54</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Layout w:type="fixed"/>
          <w:tblCellMar>
            <w:top w:w="0" w:type="dxa"/>
            <w:left w:w="108" w:type="dxa"/>
            <w:bottom w:w="0" w:type="dxa"/>
            <w:right w:w="108" w:type="dxa"/>
          </w:tblCellMar>
        </w:tblPrEx>
        <w:trPr>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本年预算5.54万元，本年支付8名安全保卫人员2个月工资，在城北片区对园区建筑、重点卡口、路段、重要设施配备安全保卫人员，对入区车辆、人员进行疏通管理，对盗采挖、垃圾倾倒、私搭乱建以及防疫管控进行治安执勤。通过实施本项目保卫区内治安，防盗，维持工作秩序、治安秩序。</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截止2022年12月31日，已完成8名安全保卫人员2个月工资支付，支付资金5.54万元。保卫区内治安，防盗，维持工作秩序、治安秩序。</w:t>
            </w:r>
          </w:p>
        </w:tc>
      </w:tr>
      <w:tr>
        <w:tblPrEx>
          <w:tblLayout w:type="fixed"/>
          <w:tblCellMar>
            <w:top w:w="0" w:type="dxa"/>
            <w:left w:w="108" w:type="dxa"/>
            <w:bottom w:w="0" w:type="dxa"/>
            <w:right w:w="108" w:type="dxa"/>
          </w:tblCellMar>
        </w:tblPrEx>
        <w:trPr>
          <w:trHeight w:val="312" w:hRule="atLeast"/>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Layout w:type="fixed"/>
          <w:tblCellMar>
            <w:top w:w="0" w:type="dxa"/>
            <w:left w:w="108" w:type="dxa"/>
            <w:bottom w:w="0" w:type="dxa"/>
            <w:right w:w="108" w:type="dxa"/>
          </w:tblCellMar>
        </w:tblPrEx>
        <w:trPr>
          <w:trHeight w:val="312" w:hRule="atLeast"/>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发放</w:t>
            </w: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人员工资次数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发放</w:t>
            </w:r>
            <w:r>
              <w:rPr>
                <w:rFonts w:hint="eastAsia" w:ascii="宋体" w:hAnsi="宋体" w:cs="宋体"/>
                <w:color w:val="000000"/>
                <w:kern w:val="0"/>
                <w:sz w:val="20"/>
                <w:szCs w:val="20"/>
                <w:lang w:eastAsia="zh-CN"/>
              </w:rPr>
              <w:t>安全保卫人员</w:t>
            </w:r>
            <w:r>
              <w:rPr>
                <w:rFonts w:hint="eastAsia" w:ascii="宋体" w:hAnsi="宋体" w:cs="宋体"/>
                <w:color w:val="000000"/>
                <w:kern w:val="0"/>
                <w:sz w:val="20"/>
                <w:szCs w:val="20"/>
              </w:rPr>
              <w:t>工资人数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&gt;=8人</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8人</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资金使用合规率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每次发放资金数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&lt;=2.77万元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2.77万元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提高园区社会秩序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园区企业满意度</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95.24%</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Ind w:w="0" w:type="dxa"/>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项目支出绩效自评表</w:t>
            </w:r>
          </w:p>
        </w:tc>
      </w:tr>
      <w:tr>
        <w:tblPrEx>
          <w:tblLayout w:type="fixed"/>
          <w:tblCellMar>
            <w:top w:w="0" w:type="dxa"/>
            <w:left w:w="108" w:type="dxa"/>
            <w:bottom w:w="0" w:type="dxa"/>
            <w:right w:w="108" w:type="dxa"/>
          </w:tblCellMar>
        </w:tblPrEx>
        <w:trPr>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设施设备与车辆购买租赁项目</w:t>
            </w:r>
          </w:p>
        </w:tc>
      </w:tr>
      <w:tr>
        <w:tblPrEx>
          <w:tblLayout w:type="fixed"/>
          <w:tblCellMar>
            <w:top w:w="0" w:type="dxa"/>
            <w:left w:w="108" w:type="dxa"/>
            <w:bottom w:w="0" w:type="dxa"/>
            <w:right w:w="108" w:type="dxa"/>
          </w:tblCellMar>
        </w:tblPrEx>
        <w:trPr>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城北转化加工管理服务中心</w:t>
            </w:r>
          </w:p>
        </w:tc>
      </w:tr>
      <w:tr>
        <w:tblPrEx>
          <w:tblLayout w:type="fixed"/>
          <w:tblCellMar>
            <w:top w:w="0" w:type="dxa"/>
            <w:left w:w="108" w:type="dxa"/>
            <w:bottom w:w="0" w:type="dxa"/>
            <w:right w:w="108" w:type="dxa"/>
          </w:tblCellMar>
        </w:tblPrEx>
        <w:trPr>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14.99</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14.99</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14.99</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14.99</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14.99</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14.99</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trHeight w:val="776"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Layout w:type="fixed"/>
          <w:tblCellMar>
            <w:top w:w="0" w:type="dxa"/>
            <w:left w:w="108" w:type="dxa"/>
            <w:bottom w:w="0" w:type="dxa"/>
            <w:right w:w="108" w:type="dxa"/>
          </w:tblCellMar>
        </w:tblPrEx>
        <w:trPr>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Layout w:type="fixed"/>
          <w:tblCellMar>
            <w:top w:w="0" w:type="dxa"/>
            <w:left w:w="108" w:type="dxa"/>
            <w:bottom w:w="0" w:type="dxa"/>
            <w:right w:w="108" w:type="dxa"/>
          </w:tblCellMar>
        </w:tblPrEx>
        <w:trPr>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预算资金14.99万元，用于支付租赁2辆业务用车费用，含租车费、燃油、维修、保养、等费用，租赁期限1年。通过实施本项目保障我单位日常工作使用，保障中心正常运转，提高城北转化加工区公共服务能力和服务质量。</w:t>
            </w:r>
          </w:p>
        </w:tc>
        <w:tc>
          <w:tcPr>
            <w:tcW w:w="42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截止2022年12月31日，已完成租赁2辆业务用车，含租车费、燃油、维修、保养等费用，支付资金14.99万元。保障我单位日常工作用车，保障中心正常运转，提高城北转化加工区公共服务能力和服务质量。</w:t>
            </w:r>
          </w:p>
        </w:tc>
      </w:tr>
      <w:tr>
        <w:tblPrEx>
          <w:tblLayout w:type="fixed"/>
          <w:tblCellMar>
            <w:top w:w="0" w:type="dxa"/>
            <w:left w:w="108" w:type="dxa"/>
            <w:bottom w:w="0" w:type="dxa"/>
            <w:right w:w="108" w:type="dxa"/>
          </w:tblCellMar>
        </w:tblPrEx>
        <w:trPr>
          <w:trHeight w:val="312" w:hRule="atLeast"/>
          <w:jc w:val="center"/>
        </w:trPr>
        <w:tc>
          <w:tcPr>
            <w:tcW w:w="73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Layout w:type="fixed"/>
          <w:tblCellMar>
            <w:top w:w="0" w:type="dxa"/>
            <w:left w:w="108" w:type="dxa"/>
            <w:bottom w:w="0" w:type="dxa"/>
            <w:right w:w="108" w:type="dxa"/>
          </w:tblCellMar>
        </w:tblPrEx>
        <w:trPr>
          <w:trHeight w:val="312" w:hRule="atLeast"/>
          <w:jc w:val="center"/>
        </w:trPr>
        <w:tc>
          <w:tcPr>
            <w:tcW w:w="7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租赁车辆数量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&gt;=2辆</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2辆</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保障办公人员数量</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&gt;=14人</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17人</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我单位已严格按照实施方案实施，目前全部完工，，导致出现正偏差。</w:t>
            </w: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资金使用合规率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车辆租赁期限</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车辆租赁费用</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&lt;=11.77万元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11.77万元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nil"/>
              <w:left w:val="single" w:color="auto" w:sz="4" w:space="0"/>
              <w:bottom w:val="single" w:color="auto" w:sz="4" w:space="0"/>
              <w:right w:val="single" w:color="auto" w:sz="4" w:space="0"/>
            </w:tcBorders>
            <w:shd w:val="clear" w:color="auto" w:fill="auto"/>
            <w:vAlign w:val="center"/>
          </w:tcPr>
          <w:p/>
        </w:tc>
        <w:tc>
          <w:tcPr>
            <w:tcW w:w="1465" w:type="dxa"/>
            <w:vMerge w:val="continue"/>
            <w:tcBorders>
              <w:top w:val="nil"/>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车辆运行经费</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&lt;=3.22万元</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3.22万元</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保障工作需要提升服务水平情况</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使用人员满意度</w:t>
            </w:r>
          </w:p>
        </w:tc>
        <w:tc>
          <w:tcPr>
            <w:tcW w:w="15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我单位已严格按照实施方案实施，目前全部完工，，导致出现正偏差。</w:t>
            </w:r>
          </w:p>
        </w:tc>
      </w:tr>
      <w:tr>
        <w:tblPrEx>
          <w:tblLayout w:type="fixed"/>
          <w:tblCellMar>
            <w:top w:w="0" w:type="dxa"/>
            <w:left w:w="108" w:type="dxa"/>
            <w:bottom w:w="0" w:type="dxa"/>
            <w:right w:w="108" w:type="dxa"/>
          </w:tblCellMar>
        </w:tblPrEx>
        <w:trPr>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w:t>
      </w:r>
      <w:r>
        <w:rPr>
          <w:rFonts w:hint="eastAsia" w:ascii="仿宋_GB2312" w:eastAsia="仿宋_GB2312"/>
          <w:sz w:val="32"/>
          <w:szCs w:val="32"/>
          <w:lang w:eastAsia="zh-CN"/>
        </w:rPr>
        <w:t>出费</w:t>
      </w:r>
      <w:r>
        <w:rPr>
          <w:rFonts w:hint="eastAsia" w:ascii="仿宋_GB2312" w:eastAsia="仿宋_GB2312"/>
          <w:sz w:val="32"/>
          <w:szCs w:val="32"/>
        </w:rPr>
        <w:t>、公务用车购置及运行费和公务接待费。其中，因公</w:t>
      </w:r>
      <w:r>
        <w:rPr>
          <w:rFonts w:hint="eastAsia" w:ascii="仿宋_GB2312" w:eastAsia="仿宋_GB2312"/>
          <w:sz w:val="32"/>
          <w:szCs w:val="32"/>
          <w:lang w:eastAsia="zh-CN"/>
        </w:rPr>
        <w:t>出费</w:t>
      </w:r>
      <w:r>
        <w:rPr>
          <w:rFonts w:hint="eastAsia" w:ascii="仿宋_GB2312" w:eastAsia="仿宋_GB2312"/>
          <w:sz w:val="32"/>
          <w:szCs w:val="32"/>
        </w:rPr>
        <w:t>反映单位公务出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30364"/>
      <w:bookmarkStart w:id="37" w:name="_Toc24532"/>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32434"/>
      <w:bookmarkStart w:id="39" w:name="_Toc2130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14238"/>
      <w:bookmarkStart w:id="41" w:name="_Toc28786"/>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0347"/>
      <w:bookmarkStart w:id="43" w:name="_Toc14869"/>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29106"/>
      <w:bookmarkStart w:id="47" w:name="_Toc32663"/>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5453"/>
      <w:bookmarkStart w:id="49" w:name="_Toc764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Yzk0YzA4ZjRjODNlZDgwMmQzYTBhNGFhMjA2OTk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A22AE4"/>
    <w:rsid w:val="00A347A6"/>
    <w:rsid w:val="00A3556A"/>
    <w:rsid w:val="00A636E4"/>
    <w:rsid w:val="00A87103"/>
    <w:rsid w:val="00AB776D"/>
    <w:rsid w:val="00AE1570"/>
    <w:rsid w:val="00B03B50"/>
    <w:rsid w:val="00B33BF0"/>
    <w:rsid w:val="00B35A42"/>
    <w:rsid w:val="00B4517D"/>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2285"/>
    <w:rsid w:val="00C77B7E"/>
    <w:rsid w:val="00C90C12"/>
    <w:rsid w:val="00CA6634"/>
    <w:rsid w:val="00CB036E"/>
    <w:rsid w:val="00CD3225"/>
    <w:rsid w:val="00CF5B51"/>
    <w:rsid w:val="00CF7E34"/>
    <w:rsid w:val="00D020FB"/>
    <w:rsid w:val="00D41FF8"/>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91E81"/>
    <w:rsid w:val="00F95054"/>
    <w:rsid w:val="00FF6A37"/>
    <w:rsid w:val="034D4FEF"/>
    <w:rsid w:val="043E5B56"/>
    <w:rsid w:val="06792773"/>
    <w:rsid w:val="0A7B4867"/>
    <w:rsid w:val="0AE83DE6"/>
    <w:rsid w:val="0B8C3ECC"/>
    <w:rsid w:val="0BBA0A81"/>
    <w:rsid w:val="0C7227A7"/>
    <w:rsid w:val="0F3317C1"/>
    <w:rsid w:val="12386E6F"/>
    <w:rsid w:val="14155180"/>
    <w:rsid w:val="15F06E99"/>
    <w:rsid w:val="18305648"/>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4F61812"/>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496407-E182-40AB-9EF3-EA738F100CCC}">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1673</Words>
  <Characters>9539</Characters>
  <Lines>79</Lines>
  <Paragraphs>22</Paragraphs>
  <TotalTime>412</TotalTime>
  <ScaleCrop>false</ScaleCrop>
  <LinksUpToDate>false</LinksUpToDate>
  <CharactersWithSpaces>11190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2023-09-11T11:42:43Z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450F969ACD1B426EA23123C3601580AE_13</vt:lpwstr>
  </property>
</Properties>
</file>