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城东市政维修服务项目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城东金融贸易区管理服务中心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城东金融贸易区管理服务中心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卡力比努尔</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2024年03月18日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改善沿线居民出行条件，对提高沿线人民群众的生活水平具有重要作用。</w:t>
        <w:br/>
        <w:t>包含城东金融贸易区市政公共设施维保维修服务项目；城东金融贸易区路灯、信号灯维保项目：维护保养城东金融贸易区路灯、交通信号灯、楼宇亮化，包含材料费+人工费+机械费，做到每日检修，服务期一年，进度款按月进度情况支付，工程造价，其中：道路维修面积10000平方米，管道维修长度1000米，改善沿线居民出行条件，对提高沿线人民群众的生活水平具有重要作用。</w:t>
        <w:br/>
        <w:t>喀什经济开发区城东金融贸易发展服务中心为财政全额拨款事业单位，纳入2023年部门决算编制范围的有4个办公室：综合服务科，投资发展科，城市管理科及建设管理科。</w:t>
        <w:br/>
        <w:t>编制人数8人，其中：行政人员编制0人、工勤0人、参公0人、事业编制8人。实有在职人数19人，其中：行政在职0人、工勤0人、参公0人、事业在职8人。离退休人员0人，其中：行政退休人员0人、事业退休0人，聘用人员11人。</w:t>
        <w:br/>
        <w:t>2023年共安排下达资金1,258.59万元，最终确定项目资金总数为1,258.59万元。</w:t>
        <w:br/>
        <w:t>截至2023年12月31日，实际支出1,258.59万元，预算执行率100%。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2023年城东市政维修服务项目，项目总投资1258.59万元，其中产</w:t>
        <w:br/>
        <w:t>市政公共设施维保费1058.59万元,路灯、信号灯维保费、工程造价费200万元；城东金融贸易区市政公共设施维保维修服务项目；城东金融贸易区路灯、信号灯维保项目：维护保养城东金融贸易区路灯、交通信号灯、楼宇亮化，包含材料费+人工费+机械费，做到每日检修，服务期一年，进度款按月进度情况支付，工程造价。改善沿线居民出行条件，提高沿线人民群众的生活水平。</w:t>
        <w:br/>
        <w:t>2.阶段性目标</w:t>
        <w:br/>
        <w:t>（1）第一阶段前期准备</w:t>
        <w:br/>
        <w:t>首先按照符城东市政维修服务项目要求通知企业准备申报资料、对接相对的企业、符不符合补贴要求、编制实施方案、准备前期工作。</w:t>
        <w:br/>
        <w:t>（2）第二阶段项目进程</w:t>
        <w:br/>
        <w:t>通知企业准备申报资料及审核申报资料工作。</w:t>
        <w:br/>
        <w:t>（3）第三阶段 资金支付</w:t>
        <w:br/>
        <w:t>按照企业申报补贴金额、最终审核的金额、对相应的企业完成资金支付工作。</w:t>
        <w:br/>
        <w:t>（4）第四阶段 项目受益调查 </w:t>
        <w:br/>
        <w:t>城东市政维修服务项目、以问卷调查方式受益对象进行满意度调查。</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</w:t>
        <w:br/>
        <w:t>我单位绩效评价人员根据《项目支出绩效评价管理办法》（财预〔2020〕10号）文件精神认真学习相关要求与规定，成立绩效评价工作组，作为绩效评价工作具体实施机构。成员构成如下：</w:t>
        <w:br/>
        <w:t>丁明龙任评价组组长，绩效评价工作职责为负责全盘工作。</w:t>
        <w:br/>
        <w:t>王瑞防任评价组副组长，绩效评价工作职责为为对项目实施情况进行实地调查。</w:t>
        <w:br/>
        <w:t>袁鹤林任评价组成员，绩效评价工作职责为负责资料审核等工作。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</w:t>
        <w:br/>
        <w:t>招商产业发展扶持项目得分情况表</w:t>
        <w:br/>
        <w:t>一级指标	权重	得分率	实际得分</w:t>
        <w:br/>
        <w:t>项目决策	20	100%	20</w:t>
        <w:br/>
        <w:t>项目过程	20	100%	20</w:t>
        <w:br/>
        <w:t>项目产出	40	100%	40</w:t>
        <w:br/>
        <w:t>项目效益	20	100%	20</w:t>
        <w:br/>
        <w:t>合计	100	100%	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招商产业发展扶持项目进行客观评价，最终评分结果：</w:t>
        <w:br/>
        <w:t>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（1）立项依据充分性：结合发挥政府服务作用，担好市政维修的职责，并组织实施。围绕2023年度工作重点和工作计划制定经费预算，根据评分标准，该指标不扣分，得3分。</w:t>
        <w:br/>
        <w:t>（2）立项程序规范性：根据决策依据编制工作计划和经费预算，经过与项目分管领导进行沟通、筛选确定经费预算计划，上党委会研究确定最终预算方案，根据评分标准，该指标不扣分，得2分。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5个三级指标构成，权重分为20分，实际得分20分，得分率为100%。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（2）预算执行率：预算编制较为详细，项目资金执行率100.0%，根据评分标准，该指标不扣分，得5分。</w:t>
        <w:br/>
        <w:t>（3）资金使用合规性：制定了相关的制度和管理规定对经费使用进行规范管理，财务制度健全、执行严格，根据评分标准，该指标不扣分，得5分。</w:t>
        <w:br/>
        <w:t>（4）管理制度健全性：制定了农业农村局相关管理办法，对财政专项资金进行严格管理，基本做到了专款专用，根据评分标准，该指标不扣分，得2分。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“零星市政维修安装、养护服务（项）”指标，预期指标值为大于等于1项，实际完成值为1项，指标完成率为100%，与预期目标一致，根据评分标准，该指标不扣分，得5分。</w:t>
        <w:br/>
        <w:t>“更换碳钢低压法兰阀门（个）”指标，预期指标值为大于等于13个，实际完成值为13个，指标完成率为100%，与预期目标一致，根据评分标准，该指标不扣分，得5分。</w:t>
        <w:br/>
        <w:t>合计得10分。</w:t>
        <w:br/>
        <w:t>（2）对于“产出质量”：</w:t>
        <w:br/>
        <w:t>“项目验收合格率（%）”指标，预期指标值为等于100%，实际完成值为100%，指标完成率为100%，与预期目标一致，根据评分标准，该指标不扣分，得10分。</w:t>
        <w:br/>
        <w:t>（3）对于“产出时效”：</w:t>
        <w:br/>
        <w:t>“资金到位及时率（%）”指标，预期指标值为等于100%，实际完成值为100%，指标完成率为100%，与预期目标一致，根据评分标准，该指标不扣分，得5分。</w:t>
        <w:br/>
        <w:t>“维修及时率（%）”指标，预期指标值为等于100%，实际完成值为100%，指标完成率为100%，与预期目标一致，根据评分标准，该指标不扣分，得5分。</w:t>
        <w:br/>
        <w:t>合计得10分。</w:t>
        <w:br/>
        <w:t>（4）对于“产出成本”：</w:t>
        <w:br/>
        <w:t>“市政公共设施维保费（万元）”指标，预期指标值为小于等于1058.59万元，实际完成值为1058.59万元，指标完成率为100%，根据国库集中支付明细表可知，市政公共设施维保费标准在绩效目标范围内，根据评分标准，该指标不扣分，得5分。</w:t>
        <w:br/>
        <w:t>“路灯、信号灯维保费、工程造价费（万元）”指标，预期指标值为小于等于200万元，实际完成值为200万元，指标完成率为100%，根据国库集中支付明细表可知，路灯、信号灯维保费、工程造价费成本标准在绩效目标范围内，根据评分标准，该指标不扣分，得5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“提升社会服务能力”指标，该指标预期指标值为提升，实际完成值为提升，指标完成率为100%。与预期目标一致，根据评分标准，该指标不扣分，得10分。</w:t>
        <w:br/>
        <w:t>（2）对于“经济效益指标”：</w:t>
        <w:br/>
        <w:t xml:space="preserve"> 此项目本年无经济效益指标。</w:t>
        <w:br/>
        <w:t>（3）对于“生态效益指标”：</w:t>
        <w:br/>
        <w:t>此项目本年无生态效益指标。</w:t>
        <w:br/>
        <w:t>合计得分10分。</w:t>
        <w:br/>
        <w:t>2.满意度指标分析</w:t>
        <w:br/>
        <w:t>对于“满意度指标：服务对象满意度（%）指标，该指标预期指标值为大于等于95%，实际完成值为100%，指标完成率为105%，存在偏差，偏差原因：项目初期，对受益对象需求的理解存在偏差，导致预期值设置偏低。改进措施：深入分析，充分了解受益对象的需求变化，更好地把握和预测。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城东市政维修服务项目预算1258.59万元，到位1258.59万元，实际支出1258.59万元，预算执行率为100%，项目绩效指标总体完成率为100.6%，偏差率为0.6%,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城东金融贸易区管理服务中心不断加强预算绩效管理制度建设，认真编制预算支出绩效目标，加强组织领导，积极开展绩效评价，预算绩效管理取得一定成效。</w:t>
        <w:br/>
        <w:t>（二）存在问题及原因分析</w:t>
        <w:br/>
        <w:t>对各项指标和指标值要进一步优化、完善，主要在细化、量化上改进。满意度问卷调查结果较高，导致预期目标值与指标完成值存在偏差。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日后项目执行过程中出现项目变化的情况，提前向财政局有关科室打报告调整项目指标预算绩效目标，保障项目指标按预算进度顺利进行，避免出现偏差，影响项目绩效指标总体完成率。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