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D523FD3">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喀什经济开发区管委会招商局</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2732011">
      <w:r>
        <w:br w:type="page"/>
      </w:r>
    </w:p>
    <w:p w14:paraId="4F5D2C60">
      <w:pPr>
        <w:spacing w:line="640" w:lineRule="exact"/>
        <w:jc w:val="center"/>
        <w:outlineLvl w:val="1"/>
      </w:pPr>
      <w:r>
        <w:rPr>
          <w:rFonts w:ascii="黑体" w:hAnsi="黑体" w:eastAsia="黑体"/>
          <w:sz w:val="32"/>
        </w:rPr>
        <w:t>第一部分 单位概况</w:t>
      </w:r>
    </w:p>
    <w:p w14:paraId="5A72E997">
      <w:pPr>
        <w:spacing w:line="640" w:lineRule="exact"/>
        <w:ind w:firstLine="640"/>
        <w:jc w:val="both"/>
        <w:outlineLvl w:val="2"/>
      </w:pPr>
      <w:r>
        <w:rPr>
          <w:rFonts w:ascii="黑体" w:hAnsi="黑体" w:eastAsia="黑体"/>
          <w:sz w:val="32"/>
        </w:rPr>
        <w:t>一、主要职能</w:t>
      </w:r>
    </w:p>
    <w:p w14:paraId="75B62618">
      <w:pPr>
        <w:spacing w:line="580" w:lineRule="exact"/>
        <w:ind w:firstLine="640"/>
        <w:jc w:val="both"/>
      </w:pPr>
      <w:r>
        <w:rPr>
          <w:rFonts w:ascii="仿宋_GB2312" w:hAnsi="仿宋_GB2312" w:eastAsia="仿宋_GB2312"/>
          <w:sz w:val="32"/>
        </w:rPr>
        <w:t>负责贯彻执行开发区招商引资的计划任务，负责招商引资计划的制定、任务分解及归口统计工作；负责招商项目政策咨询和项目洽谈；参与各种经贸洽谈会和招商考察活动；负责客商的联络与项目跟踪服务；负责组织招商引资项目评审、签约服务；负责招商项目数据库的建立和产业、行业信息的搜集与研究，编制招商宣传资料；参与开发区产业政策的研究与制定；落实承办党工委、管委会交办的其他工作。</w:t>
      </w:r>
    </w:p>
    <w:p w14:paraId="344CDB3D">
      <w:pPr>
        <w:spacing w:line="640" w:lineRule="exact"/>
        <w:ind w:firstLine="640"/>
        <w:jc w:val="both"/>
        <w:outlineLvl w:val="2"/>
      </w:pPr>
      <w:r>
        <w:rPr>
          <w:rFonts w:ascii="黑体" w:hAnsi="黑体" w:eastAsia="黑体"/>
          <w:sz w:val="32"/>
        </w:rPr>
        <w:t>二、机构设置及人员情况</w:t>
      </w:r>
    </w:p>
    <w:p w14:paraId="4F59EFDC">
      <w:pPr>
        <w:spacing w:line="580" w:lineRule="exact"/>
        <w:ind w:firstLine="640"/>
        <w:jc w:val="both"/>
      </w:pPr>
      <w:r>
        <w:rPr>
          <w:rFonts w:ascii="仿宋_GB2312" w:hAnsi="仿宋_GB2312" w:eastAsia="仿宋_GB2312"/>
          <w:sz w:val="32"/>
        </w:rPr>
        <w:t>喀什经济开发区管委会招商局2024年度，实有人数8人，其中：在职人员8人，增加0人；离休人员0人，增加0人；退休人员0人,增加0人。</w:t>
      </w:r>
    </w:p>
    <w:p w14:paraId="1FC294B8">
      <w:pPr>
        <w:spacing w:line="580" w:lineRule="exact"/>
        <w:ind w:firstLine="640"/>
        <w:jc w:val="both"/>
      </w:pPr>
      <w:r>
        <w:rPr>
          <w:rFonts w:ascii="仿宋_GB2312" w:hAnsi="仿宋_GB2312" w:eastAsia="仿宋_GB2312"/>
          <w:sz w:val="32"/>
        </w:rPr>
        <w:t>喀什经济开发区管委会招商局无下属预算单位，下设4个科室，分别是：投资管理科、商贸工信科、综合科、发展改革科。</w:t>
      </w:r>
    </w:p>
    <w:p w14:paraId="5A595409">
      <w:r>
        <w:br w:type="page"/>
      </w:r>
    </w:p>
    <w:p w14:paraId="33F68E49">
      <w:pPr>
        <w:spacing w:line="240" w:lineRule="auto"/>
        <w:jc w:val="center"/>
        <w:outlineLvl w:val="1"/>
      </w:pPr>
      <w:r>
        <w:rPr>
          <w:rFonts w:ascii="黑体" w:hAnsi="黑体" w:eastAsia="黑体"/>
          <w:sz w:val="32"/>
        </w:rPr>
        <w:t>第二部分 部门决算情况说明</w:t>
      </w:r>
    </w:p>
    <w:p w14:paraId="44F5D369">
      <w:pPr>
        <w:spacing w:line="640" w:lineRule="exact"/>
        <w:ind w:firstLine="640"/>
        <w:jc w:val="both"/>
        <w:outlineLvl w:val="2"/>
      </w:pPr>
      <w:r>
        <w:rPr>
          <w:rFonts w:ascii="黑体" w:hAnsi="黑体" w:eastAsia="黑体"/>
          <w:sz w:val="32"/>
        </w:rPr>
        <w:t>一、收入支出决算总体情况说明</w:t>
      </w:r>
    </w:p>
    <w:p w14:paraId="0D94208C">
      <w:pPr>
        <w:spacing w:line="580" w:lineRule="exact"/>
        <w:ind w:firstLine="640"/>
        <w:jc w:val="both"/>
      </w:pPr>
      <w:r>
        <w:rPr>
          <w:rFonts w:ascii="仿宋_GB2312" w:hAnsi="仿宋_GB2312" w:eastAsia="仿宋_GB2312"/>
          <w:b/>
          <w:sz w:val="32"/>
        </w:rPr>
        <w:t>2024年度收入总计562.19万元，</w:t>
      </w:r>
      <w:r>
        <w:rPr>
          <w:rFonts w:ascii="仿宋_GB2312" w:hAnsi="仿宋_GB2312" w:eastAsia="仿宋_GB2312"/>
          <w:b w:val="0"/>
          <w:sz w:val="32"/>
        </w:rPr>
        <w:t>其中：本年收入合计562.19万元，使用非财政拨款结余（含专用结余）0.00万元，年初结转和结余0.00万元。</w:t>
      </w:r>
    </w:p>
    <w:p w14:paraId="3E7A2362">
      <w:pPr>
        <w:spacing w:line="580" w:lineRule="exact"/>
        <w:ind w:firstLine="640"/>
        <w:jc w:val="both"/>
      </w:pPr>
      <w:r>
        <w:rPr>
          <w:rFonts w:ascii="仿宋_GB2312" w:hAnsi="仿宋_GB2312" w:eastAsia="仿宋_GB2312"/>
          <w:b/>
          <w:sz w:val="32"/>
        </w:rPr>
        <w:t>2024年度支出总计562.19万元，</w:t>
      </w:r>
      <w:r>
        <w:rPr>
          <w:rFonts w:ascii="仿宋_GB2312" w:hAnsi="仿宋_GB2312" w:eastAsia="仿宋_GB2312"/>
          <w:b w:val="0"/>
          <w:sz w:val="32"/>
        </w:rPr>
        <w:t>其中：本年支出合计562.19万元，结余分配0.00万元，年末结转和结余0.00万元。</w:t>
      </w:r>
    </w:p>
    <w:p w14:paraId="1C65DD49">
      <w:pPr>
        <w:spacing w:line="580" w:lineRule="exact"/>
        <w:ind w:firstLine="640"/>
        <w:jc w:val="both"/>
      </w:pPr>
      <w:r>
        <w:rPr>
          <w:rFonts w:ascii="仿宋_GB2312" w:hAnsi="仿宋_GB2312" w:eastAsia="仿宋_GB2312"/>
          <w:b w:val="0"/>
          <w:sz w:val="32"/>
        </w:rPr>
        <w:t>收入支出总体与上年相比，减少140.41万元，下降19.98%，主要原因是：本年减少城北转化加工区展示馆装饰工程、新疆丝路西部商务服务有限公司机电产业园建设、招商引资工作经费、企业设备补贴效益评估工作经费等项目经费，导致经费较上年减少。</w:t>
      </w:r>
    </w:p>
    <w:p w14:paraId="3E4818A3">
      <w:pPr>
        <w:spacing w:line="640" w:lineRule="exact"/>
        <w:ind w:firstLine="640"/>
        <w:jc w:val="both"/>
        <w:outlineLvl w:val="2"/>
      </w:pPr>
      <w:r>
        <w:rPr>
          <w:rFonts w:ascii="黑体" w:hAnsi="黑体" w:eastAsia="黑体"/>
          <w:sz w:val="32"/>
        </w:rPr>
        <w:t>二、收入决算情况说明</w:t>
      </w:r>
    </w:p>
    <w:p w14:paraId="10D5473D">
      <w:pPr>
        <w:spacing w:line="580" w:lineRule="exact"/>
        <w:ind w:firstLine="640"/>
        <w:jc w:val="both"/>
      </w:pPr>
      <w:r>
        <w:rPr>
          <w:rFonts w:ascii="仿宋_GB2312" w:hAnsi="仿宋_GB2312" w:eastAsia="仿宋_GB2312"/>
          <w:b/>
          <w:sz w:val="32"/>
        </w:rPr>
        <w:t>本年收入562.19万元，</w:t>
      </w:r>
      <w:r>
        <w:rPr>
          <w:rFonts w:ascii="仿宋_GB2312" w:hAnsi="仿宋_GB2312" w:eastAsia="仿宋_GB2312"/>
          <w:b w:val="0"/>
          <w:sz w:val="32"/>
        </w:rPr>
        <w:t>其中：财政拨款收入562.19万元，占100.00%；上级补助收入0.00万元，占0.00%；事业收入0.00万元，占0.00%；经营收入0.00万元，占0.00%；附属单位上缴收入0.00万元，占0.00%；其他收入0.00万元，占0.00%。</w:t>
      </w:r>
    </w:p>
    <w:p w14:paraId="54FA2767">
      <w:pPr>
        <w:spacing w:line="640" w:lineRule="exact"/>
        <w:ind w:firstLine="640"/>
        <w:jc w:val="both"/>
        <w:outlineLvl w:val="2"/>
      </w:pPr>
      <w:r>
        <w:rPr>
          <w:rFonts w:ascii="黑体" w:hAnsi="黑体" w:eastAsia="黑体"/>
          <w:sz w:val="32"/>
        </w:rPr>
        <w:t>三、支出决算情况说明</w:t>
      </w:r>
    </w:p>
    <w:p w14:paraId="0E08B88C">
      <w:pPr>
        <w:spacing w:line="580" w:lineRule="exact"/>
        <w:ind w:firstLine="640"/>
        <w:jc w:val="both"/>
      </w:pPr>
      <w:r>
        <w:rPr>
          <w:rFonts w:ascii="仿宋_GB2312" w:hAnsi="仿宋_GB2312" w:eastAsia="仿宋_GB2312"/>
          <w:b/>
          <w:sz w:val="32"/>
        </w:rPr>
        <w:t>本年支出562.19万元，</w:t>
      </w:r>
      <w:r>
        <w:rPr>
          <w:rFonts w:ascii="仿宋_GB2312" w:hAnsi="仿宋_GB2312" w:eastAsia="仿宋_GB2312"/>
          <w:b w:val="0"/>
          <w:sz w:val="32"/>
        </w:rPr>
        <w:t>其中：基本支出357.55万元，占63.60%；项目支出204.64万元，占36.40%；上缴上级支出0.00万元，占0.00%；经营支出0.00万元，占0.00%；对附属单位补助支出0.00万元，占0.00%。</w:t>
      </w:r>
    </w:p>
    <w:p w14:paraId="4FCEF408">
      <w:pPr>
        <w:spacing w:line="640" w:lineRule="exact"/>
        <w:ind w:firstLine="640"/>
        <w:jc w:val="both"/>
        <w:outlineLvl w:val="2"/>
      </w:pPr>
      <w:r>
        <w:rPr>
          <w:rFonts w:ascii="黑体" w:hAnsi="黑体" w:eastAsia="黑体"/>
          <w:sz w:val="32"/>
        </w:rPr>
        <w:t>四、财政拨款收入支出决算总体情况说明</w:t>
      </w:r>
    </w:p>
    <w:p w14:paraId="207D0F80">
      <w:pPr>
        <w:spacing w:line="580" w:lineRule="exact"/>
        <w:ind w:firstLine="640"/>
        <w:jc w:val="both"/>
      </w:pPr>
      <w:r>
        <w:rPr>
          <w:rFonts w:ascii="仿宋_GB2312" w:hAnsi="仿宋_GB2312" w:eastAsia="仿宋_GB2312"/>
          <w:b/>
          <w:sz w:val="32"/>
        </w:rPr>
        <w:t>2024年度财政拨款收入总计562.19万元，</w:t>
      </w:r>
      <w:r>
        <w:rPr>
          <w:rFonts w:ascii="仿宋_GB2312" w:hAnsi="仿宋_GB2312" w:eastAsia="仿宋_GB2312"/>
          <w:b w:val="0"/>
          <w:sz w:val="32"/>
        </w:rPr>
        <w:t>其中：年初财政拨款结转和结余0.00万元，本年财政拨款收入562.19万元。</w:t>
      </w:r>
      <w:r>
        <w:rPr>
          <w:rFonts w:ascii="仿宋_GB2312" w:hAnsi="仿宋_GB2312" w:eastAsia="仿宋_GB2312"/>
          <w:b/>
          <w:sz w:val="32"/>
        </w:rPr>
        <w:t>财政拨款支出总计562.19万元，</w:t>
      </w:r>
      <w:r>
        <w:rPr>
          <w:rFonts w:ascii="仿宋_GB2312" w:hAnsi="仿宋_GB2312" w:eastAsia="仿宋_GB2312"/>
          <w:b w:val="0"/>
          <w:sz w:val="32"/>
        </w:rPr>
        <w:t>其中：年末财政拨款结转和结余0.00万元，本年财政拨款支出562.19万元。</w:t>
      </w:r>
    </w:p>
    <w:p w14:paraId="4932810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140.41万元，下降19.98%，主要原因是：本年减少城北转化加工区展示馆装饰工程、新疆丝路西部商务服务有限公司机电产业园建设、招商引资工作经费、企业设备补贴效益评估工作经费等项目经费，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年初预算数1,300.75万元，决算数562.19万元，预决算差异率-56.78%，主要原因是：年中调减招商引资工作项目、招商平台经费等项目经费，导致预决算存在差异。</w:t>
      </w:r>
    </w:p>
    <w:p w14:paraId="60AD4A5F">
      <w:pPr>
        <w:spacing w:line="640" w:lineRule="exact"/>
        <w:ind w:firstLine="640"/>
        <w:jc w:val="both"/>
        <w:outlineLvl w:val="2"/>
      </w:pPr>
      <w:r>
        <w:rPr>
          <w:rFonts w:ascii="黑体" w:hAnsi="黑体" w:eastAsia="黑体"/>
          <w:sz w:val="32"/>
        </w:rPr>
        <w:t>五、一般公共预算财政拨款支出决算情况说明</w:t>
      </w:r>
    </w:p>
    <w:p w14:paraId="0027F5C0">
      <w:pPr>
        <w:spacing w:line="640" w:lineRule="exact"/>
        <w:ind w:firstLine="640"/>
        <w:jc w:val="both"/>
        <w:outlineLvl w:val="3"/>
      </w:pPr>
      <w:r>
        <w:rPr>
          <w:rFonts w:ascii="楷体_GB2312" w:hAnsi="楷体_GB2312" w:eastAsia="楷体_GB2312"/>
          <w:b/>
          <w:sz w:val="32"/>
        </w:rPr>
        <w:t>（一）一般公共预算财政拨款支出决算总体情况</w:t>
      </w:r>
    </w:p>
    <w:p w14:paraId="0E2532E6">
      <w:pPr>
        <w:spacing w:line="580" w:lineRule="exact"/>
        <w:ind w:firstLine="640"/>
        <w:jc w:val="both"/>
      </w:pPr>
      <w:r>
        <w:rPr>
          <w:rFonts w:ascii="仿宋_GB2312" w:hAnsi="仿宋_GB2312" w:eastAsia="仿宋_GB2312"/>
          <w:b/>
          <w:sz w:val="32"/>
        </w:rPr>
        <w:t>2024年度一般公共预算财政拨款支出562.19万元，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140.41万元，下降19.98%，主要原因是：本年减少城北转化加工区展示馆装饰工程、新疆丝路西部商务服务有限公司机电产业园建设、招商引资工作经费、企业设备补贴效益评估工作经费等项目经费，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年初预算数1,300.75万元，决算数562.19万元，预决算差异率-56.78%，主要原因是：年中调减招商引资工作项目、招商平台经费等项目经费，导致预决算存在差异。</w:t>
      </w:r>
    </w:p>
    <w:p w14:paraId="42A153F1">
      <w:pPr>
        <w:spacing w:line="640" w:lineRule="exact"/>
        <w:ind w:firstLine="640"/>
        <w:jc w:val="both"/>
        <w:outlineLvl w:val="3"/>
      </w:pPr>
      <w:r>
        <w:rPr>
          <w:rFonts w:ascii="楷体_GB2312" w:hAnsi="楷体_GB2312" w:eastAsia="楷体_GB2312"/>
          <w:b/>
          <w:sz w:val="32"/>
        </w:rPr>
        <w:t>（二）一般公共预算财政拨款支出决算结构情况</w:t>
      </w:r>
    </w:p>
    <w:p w14:paraId="74EC5E39">
      <w:pPr>
        <w:spacing w:line="580" w:lineRule="exact"/>
        <w:ind w:firstLine="640"/>
        <w:jc w:val="both"/>
      </w:pPr>
      <w:r>
        <w:rPr>
          <w:rFonts w:ascii="仿宋_GB2312" w:hAnsi="仿宋_GB2312" w:eastAsia="仿宋_GB2312"/>
          <w:b w:val="0"/>
          <w:sz w:val="32"/>
        </w:rPr>
        <w:t>1.一般公共服务支出(类)525.27万元,占93.43%。</w:t>
      </w:r>
    </w:p>
    <w:p w14:paraId="76499EB0">
      <w:pPr>
        <w:spacing w:line="580" w:lineRule="exact"/>
        <w:ind w:firstLine="640"/>
        <w:jc w:val="both"/>
      </w:pPr>
      <w:r>
        <w:rPr>
          <w:rFonts w:ascii="仿宋_GB2312" w:hAnsi="仿宋_GB2312" w:eastAsia="仿宋_GB2312"/>
          <w:b w:val="0"/>
          <w:sz w:val="32"/>
        </w:rPr>
        <w:t>2.社会保障和就业支出(类)15.64万元,占2.78%。</w:t>
      </w:r>
    </w:p>
    <w:p w14:paraId="54A23C69">
      <w:pPr>
        <w:spacing w:line="580" w:lineRule="exact"/>
        <w:ind w:firstLine="640"/>
        <w:jc w:val="both"/>
      </w:pPr>
      <w:r>
        <w:rPr>
          <w:rFonts w:ascii="仿宋_GB2312" w:hAnsi="仿宋_GB2312" w:eastAsia="仿宋_GB2312"/>
          <w:b w:val="0"/>
          <w:sz w:val="32"/>
        </w:rPr>
        <w:t>3.卫生健康支出(类)8.60万元,占1.53%。</w:t>
      </w:r>
    </w:p>
    <w:p w14:paraId="267AA6AB">
      <w:pPr>
        <w:spacing w:line="580" w:lineRule="exact"/>
        <w:ind w:firstLine="640"/>
        <w:jc w:val="both"/>
      </w:pPr>
      <w:r>
        <w:rPr>
          <w:rFonts w:ascii="仿宋_GB2312" w:hAnsi="仿宋_GB2312" w:eastAsia="仿宋_GB2312"/>
          <w:b w:val="0"/>
          <w:sz w:val="32"/>
        </w:rPr>
        <w:t>4.住房保障支出(类)12.67万元,占2.25%。</w:t>
      </w:r>
    </w:p>
    <w:p w14:paraId="2105D2F9">
      <w:pPr>
        <w:spacing w:line="640" w:lineRule="exact"/>
        <w:ind w:firstLine="640"/>
        <w:jc w:val="both"/>
        <w:outlineLvl w:val="3"/>
      </w:pPr>
      <w:r>
        <w:rPr>
          <w:rFonts w:ascii="楷体_GB2312" w:hAnsi="楷体_GB2312" w:eastAsia="楷体_GB2312"/>
          <w:b/>
          <w:sz w:val="32"/>
        </w:rPr>
        <w:t>（三）一般公共预算财政拨款支出决算具体情况</w:t>
      </w:r>
    </w:p>
    <w:p w14:paraId="3C5D79F3">
      <w:pPr>
        <w:spacing w:line="580" w:lineRule="exact"/>
        <w:ind w:firstLine="640"/>
        <w:jc w:val="both"/>
      </w:pPr>
      <w:r>
        <w:rPr>
          <w:rFonts w:ascii="仿宋_GB2312" w:hAnsi="仿宋_GB2312" w:eastAsia="仿宋_GB2312"/>
          <w:b w:val="0"/>
          <w:sz w:val="32"/>
        </w:rPr>
        <w:t>1.一般公共服务支出(类)政府办公厅（室）及相关机构事务(款)事业运行(项):支出决算数为0.00万元，比上年决算减少1.02万元，下降100.00%,主要原因是：本单位因机构改革，由事业单位改为行政单位，导致经费较上年减少。</w:t>
      </w:r>
    </w:p>
    <w:p w14:paraId="6828EC8A">
      <w:pPr>
        <w:spacing w:line="580" w:lineRule="exact"/>
        <w:ind w:firstLine="640"/>
        <w:jc w:val="both"/>
      </w:pPr>
      <w:r>
        <w:rPr>
          <w:rFonts w:ascii="仿宋_GB2312" w:hAnsi="仿宋_GB2312" w:eastAsia="仿宋_GB2312"/>
          <w:b w:val="0"/>
          <w:sz w:val="32"/>
        </w:rPr>
        <w:t>2.一般公共服务支出(类)商贸事务(款)行政运行(项):支出决算数为311.57万元，比上年决算增加311.57万元，增长100.00%,主要原因是：本单位因机构改革，由事业单位改为行政单位，导致经费较上年增加。</w:t>
      </w:r>
    </w:p>
    <w:p w14:paraId="4E1D10AF">
      <w:pPr>
        <w:spacing w:line="580" w:lineRule="exact"/>
        <w:ind w:firstLine="640"/>
        <w:jc w:val="both"/>
      </w:pPr>
      <w:r>
        <w:rPr>
          <w:rFonts w:ascii="仿宋_GB2312" w:hAnsi="仿宋_GB2312" w:eastAsia="仿宋_GB2312"/>
          <w:b w:val="0"/>
          <w:sz w:val="32"/>
        </w:rPr>
        <w:t>3.一般公共服务支出(类)商贸事务(款)招商引资(项):支出决算数为204.64万元，比上年决算减少92.94万元，下降31.23%,主要原因是：本年减少招商引资工作经费、企业设备补贴效益评估工作经费等项目经费，导致相关经费减少。</w:t>
      </w:r>
    </w:p>
    <w:p w14:paraId="49A15735">
      <w:pPr>
        <w:spacing w:line="580" w:lineRule="exact"/>
        <w:ind w:firstLine="640"/>
        <w:jc w:val="both"/>
      </w:pPr>
      <w:r>
        <w:rPr>
          <w:rFonts w:ascii="仿宋_GB2312" w:hAnsi="仿宋_GB2312" w:eastAsia="仿宋_GB2312"/>
          <w:b w:val="0"/>
          <w:sz w:val="32"/>
        </w:rPr>
        <w:t>4.一般公共服务支出(类)商贸事务(款)事业运行(项):支出决算数为9.07万元，比上年决算减少217.10万元，下降95.99%,主要原因是：本单位因机构改革，由事业单位改为行政单位，导致经费较上年减少。</w:t>
      </w:r>
    </w:p>
    <w:p w14:paraId="1E577161">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15.64万元，比上年决算减少9.54万元，下降37.89%,主要原因是：本年在职人员调入调出，人员职级不同，缴费基数不同，导致养老保险缴费较上年减少。</w:t>
      </w:r>
    </w:p>
    <w:p w14:paraId="09CF47AC">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0.00万元，比上年决算减少14.49万元，下降100.00%,主要原因是：本年无新增调出人员，职业年金缴费较上年减少。</w:t>
      </w:r>
    </w:p>
    <w:p w14:paraId="46A81499">
      <w:pPr>
        <w:spacing w:line="580" w:lineRule="exact"/>
        <w:ind w:firstLine="640"/>
        <w:jc w:val="both"/>
      </w:pPr>
      <w:r>
        <w:rPr>
          <w:rFonts w:ascii="仿宋_GB2312" w:hAnsi="仿宋_GB2312" w:eastAsia="仿宋_GB2312"/>
          <w:b w:val="0"/>
          <w:sz w:val="32"/>
        </w:rPr>
        <w:t>7.卫生健康支出(类)行政事业单位医疗(款)行政单位医疗(项):支出决算数为6.65万元，比上年决算增加6.65万元，增长100.00%,主要原因是：本单位因机构改革，由事业单位改为行政单位，导致经费较上年增加。</w:t>
      </w:r>
    </w:p>
    <w:p w14:paraId="12981C89">
      <w:pPr>
        <w:spacing w:line="580" w:lineRule="exact"/>
        <w:ind w:firstLine="640"/>
        <w:jc w:val="both"/>
      </w:pPr>
      <w:r>
        <w:rPr>
          <w:rFonts w:ascii="仿宋_GB2312" w:hAnsi="仿宋_GB2312" w:eastAsia="仿宋_GB2312"/>
          <w:b w:val="0"/>
          <w:sz w:val="32"/>
        </w:rPr>
        <w:t>8.卫生健康支出(类)行政事业单位医疗(款)事业单位医疗(项):支出决算数为0.00万元，比上年决算减少10.70万元，下降100.00%,主要原因是：本单位因机构改革，由事业单位改为行政单位，导致经费较上年减少。</w:t>
      </w:r>
    </w:p>
    <w:p w14:paraId="72735ACB">
      <w:pPr>
        <w:spacing w:line="580" w:lineRule="exact"/>
        <w:ind w:firstLine="640"/>
        <w:jc w:val="both"/>
      </w:pPr>
      <w:r>
        <w:rPr>
          <w:rFonts w:ascii="仿宋_GB2312" w:hAnsi="仿宋_GB2312" w:eastAsia="仿宋_GB2312"/>
          <w:b w:val="0"/>
          <w:sz w:val="32"/>
        </w:rPr>
        <w:t>9.卫生健康支出(类)行政事业单位医疗(款)公务员医疗补助(项):支出决算数为1.95万元，比上年决算增加0.38万元，增长24.20%,主要原因是：</w:t>
      </w:r>
      <w:r>
        <w:rPr>
          <w:rFonts w:hint="eastAsia" w:ascii="仿宋_GB2312" w:hAnsi="仿宋_GB2312" w:eastAsia="仿宋_GB2312"/>
          <w:b w:val="0"/>
          <w:sz w:val="32"/>
          <w:lang w:val="en-US" w:eastAsia="zh-CN"/>
        </w:rPr>
        <w:t>本年人员工资调增</w:t>
      </w:r>
      <w:r>
        <w:rPr>
          <w:rFonts w:ascii="仿宋_GB2312" w:hAnsi="仿宋_GB2312" w:eastAsia="仿宋_GB2312"/>
          <w:b w:val="0"/>
          <w:sz w:val="32"/>
        </w:rPr>
        <w:t>，公务员医疗补助</w:t>
      </w:r>
      <w:r>
        <w:rPr>
          <w:rFonts w:hint="eastAsia" w:ascii="仿宋_GB2312" w:hAnsi="仿宋_GB2312" w:eastAsia="仿宋_GB2312"/>
          <w:b w:val="0"/>
          <w:sz w:val="32"/>
          <w:lang w:val="en-US" w:eastAsia="zh-CN"/>
        </w:rPr>
        <w:t>基数</w:t>
      </w:r>
      <w:r>
        <w:rPr>
          <w:rFonts w:ascii="仿宋_GB2312" w:hAnsi="仿宋_GB2312" w:eastAsia="仿宋_GB2312"/>
          <w:b w:val="0"/>
          <w:sz w:val="32"/>
        </w:rPr>
        <w:t>增加。</w:t>
      </w:r>
    </w:p>
    <w:p w14:paraId="100BA762">
      <w:pPr>
        <w:spacing w:line="580" w:lineRule="exact"/>
        <w:ind w:firstLine="640"/>
        <w:jc w:val="both"/>
      </w:pPr>
      <w:r>
        <w:rPr>
          <w:rFonts w:ascii="仿宋_GB2312" w:hAnsi="仿宋_GB2312" w:eastAsia="仿宋_GB2312"/>
          <w:b w:val="0"/>
          <w:sz w:val="32"/>
        </w:rPr>
        <w:t>10.城乡社区支出(类)城乡社区公共设施(款)小城镇基础设施建设(项):支出决算数为0.00万元，比上年决算减少11.14万元，下降100.00%,主要原因是：本年减少深圳产业园基础设施建设及配套工程项目，导致经费较上年减少。</w:t>
      </w:r>
    </w:p>
    <w:p w14:paraId="41BA3153">
      <w:pPr>
        <w:spacing w:line="580" w:lineRule="exact"/>
        <w:ind w:firstLine="640"/>
        <w:jc w:val="both"/>
      </w:pPr>
      <w:r>
        <w:rPr>
          <w:rFonts w:ascii="仿宋_GB2312" w:hAnsi="仿宋_GB2312" w:eastAsia="仿宋_GB2312"/>
          <w:b w:val="0"/>
          <w:sz w:val="32"/>
        </w:rPr>
        <w:t>11.城乡社区支出(类)城乡社区公共设施(款)其他城乡社区公共设施支出(项):支出决算数为0.00万元，比上年决算减少96.86万元，下降100.00%,主要原因是：本年减少城北转化加工区展示馆装饰工程、新疆丝路西部商务服务有限公司机电产业园建设等项目经费，导致经费较上年减少。</w:t>
      </w:r>
    </w:p>
    <w:p w14:paraId="3B96E6E4">
      <w:pPr>
        <w:spacing w:line="580" w:lineRule="exact"/>
        <w:ind w:firstLine="640"/>
        <w:jc w:val="both"/>
      </w:pPr>
      <w:r>
        <w:rPr>
          <w:rFonts w:ascii="仿宋_GB2312" w:hAnsi="仿宋_GB2312" w:eastAsia="仿宋_GB2312"/>
          <w:b w:val="0"/>
          <w:sz w:val="32"/>
        </w:rPr>
        <w:t>12.住房保障支出(类)住房改革支出(款)住房公积金(项):支出决算数为12.67万元，比上年决算减少5.23万元，下降29.22%,主要原因是：本年在职人员调入调出，人员职级不同，缴费基数不同，导致住房公积金较上年减少。</w:t>
      </w:r>
    </w:p>
    <w:p w14:paraId="1C78556F">
      <w:pPr>
        <w:spacing w:line="640" w:lineRule="exact"/>
        <w:ind w:firstLine="640"/>
        <w:jc w:val="both"/>
        <w:outlineLvl w:val="2"/>
      </w:pPr>
      <w:r>
        <w:rPr>
          <w:rFonts w:ascii="黑体" w:hAnsi="黑体" w:eastAsia="黑体"/>
          <w:sz w:val="32"/>
        </w:rPr>
        <w:t>六、一般公共预算财政拨款基本支出决算情况说明</w:t>
      </w:r>
    </w:p>
    <w:p w14:paraId="52E24F96">
      <w:pPr>
        <w:spacing w:line="580" w:lineRule="exact"/>
        <w:ind w:firstLine="640"/>
        <w:jc w:val="both"/>
      </w:pPr>
      <w:r>
        <w:rPr>
          <w:rFonts w:ascii="仿宋_GB2312" w:hAnsi="仿宋_GB2312" w:eastAsia="仿宋_GB2312"/>
          <w:b w:val="0"/>
          <w:sz w:val="32"/>
        </w:rPr>
        <w:t>2024年度一般公共预算财政拨款基本支出357.55万元，其中：</w:t>
      </w:r>
      <w:r>
        <w:rPr>
          <w:rFonts w:ascii="仿宋_GB2312" w:hAnsi="仿宋_GB2312" w:eastAsia="仿宋_GB2312"/>
          <w:b/>
          <w:sz w:val="32"/>
        </w:rPr>
        <w:t>人员经费345.88万元，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包括：基本工资、津贴补贴、奖金、绩效工资、机关事业单位基本养老保险缴费、职工基本医疗保险缴费、公务员医疗补助缴费、其他社会保障缴费、住房公积金、其他工资福利支出。</w:t>
      </w:r>
    </w:p>
    <w:p w14:paraId="2345A5B9">
      <w:pPr>
        <w:spacing w:line="580" w:lineRule="exact"/>
        <w:ind w:firstLine="640"/>
        <w:jc w:val="both"/>
      </w:pPr>
      <w:r>
        <w:rPr>
          <w:rFonts w:ascii="仿宋_GB2312" w:hAnsi="仿宋_GB2312" w:eastAsia="仿宋_GB2312"/>
          <w:b/>
          <w:sz w:val="32"/>
        </w:rPr>
        <w:t>公用经费11.67万元，</w:t>
      </w:r>
      <w:r>
        <w:rPr>
          <w:rFonts w:ascii="仿宋_GB2312" w:hAnsi="仿宋_GB2312" w:eastAsia="仿宋_GB2312"/>
          <w:b w:val="0"/>
          <w:sz w:val="32"/>
        </w:rPr>
        <w:t>包括：办公费、印刷费、邮电费、差旅费、其他商品和服务支出。</w:t>
      </w:r>
    </w:p>
    <w:p w14:paraId="6FC186C1">
      <w:pPr>
        <w:spacing w:line="640" w:lineRule="exact"/>
        <w:ind w:firstLine="640"/>
        <w:jc w:val="both"/>
        <w:outlineLvl w:val="2"/>
      </w:pPr>
      <w:r>
        <w:rPr>
          <w:rFonts w:ascii="黑体" w:hAnsi="黑体" w:eastAsia="黑体"/>
          <w:sz w:val="32"/>
        </w:rPr>
        <w:t>七、政府性基金预算财政拨款收入支出决算情况说明</w:t>
      </w:r>
    </w:p>
    <w:p w14:paraId="1DC3F105">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83F6457">
      <w:pPr>
        <w:spacing w:line="640" w:lineRule="exact"/>
        <w:ind w:firstLine="640"/>
        <w:jc w:val="both"/>
        <w:outlineLvl w:val="2"/>
      </w:pPr>
      <w:r>
        <w:rPr>
          <w:rFonts w:ascii="黑体" w:hAnsi="黑体" w:eastAsia="黑体"/>
          <w:sz w:val="32"/>
        </w:rPr>
        <w:t>八、国有资本经营预算财政拨款收入支出决算情况说明</w:t>
      </w:r>
    </w:p>
    <w:p w14:paraId="5058DBE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A54561C">
      <w:pPr>
        <w:spacing w:line="640" w:lineRule="exact"/>
        <w:ind w:firstLine="640"/>
        <w:jc w:val="both"/>
        <w:outlineLvl w:val="2"/>
      </w:pPr>
      <w:r>
        <w:rPr>
          <w:rFonts w:ascii="黑体" w:hAnsi="黑体" w:eastAsia="黑体"/>
          <w:sz w:val="32"/>
        </w:rPr>
        <w:t>九、财政拨款“三公”经费支出决算情况说明</w:t>
      </w:r>
    </w:p>
    <w:p w14:paraId="5CEDB359">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6B99A628">
      <w:pPr>
        <w:spacing w:line="580" w:lineRule="exact"/>
        <w:ind w:firstLine="640"/>
        <w:jc w:val="both"/>
      </w:pPr>
      <w:r>
        <w:rPr>
          <w:rFonts w:ascii="仿宋_GB2312" w:hAnsi="仿宋_GB2312" w:eastAsia="仿宋_GB2312"/>
          <w:b/>
          <w:sz w:val="32"/>
        </w:rPr>
        <w:t>具体情况如下：</w:t>
      </w:r>
    </w:p>
    <w:p w14:paraId="29A31FA4">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508A175">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2557B0CB">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514474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562FF4F3">
      <w:pPr>
        <w:spacing w:line="640" w:lineRule="exact"/>
        <w:ind w:firstLine="640"/>
        <w:jc w:val="both"/>
        <w:outlineLvl w:val="2"/>
      </w:pPr>
      <w:r>
        <w:rPr>
          <w:rFonts w:ascii="黑体" w:hAnsi="黑体" w:eastAsia="黑体"/>
          <w:sz w:val="32"/>
        </w:rPr>
        <w:t>十、其他重要事项的情况说明</w:t>
      </w:r>
    </w:p>
    <w:p w14:paraId="4AEB18CA">
      <w:pPr>
        <w:spacing w:line="640" w:lineRule="exact"/>
        <w:ind w:firstLine="640"/>
        <w:jc w:val="both"/>
        <w:outlineLvl w:val="3"/>
      </w:pPr>
      <w:r>
        <w:rPr>
          <w:rFonts w:ascii="楷体_GB2312" w:hAnsi="楷体_GB2312" w:eastAsia="楷体_GB2312"/>
          <w:b/>
          <w:sz w:val="32"/>
        </w:rPr>
        <w:t>（一）机关运行经费及公用经费支出情况</w:t>
      </w:r>
    </w:p>
    <w:p w14:paraId="3CA9042E">
      <w:pPr>
        <w:spacing w:line="580" w:lineRule="exact"/>
        <w:ind w:firstLine="640"/>
        <w:jc w:val="both"/>
      </w:pPr>
      <w:r>
        <w:rPr>
          <w:rFonts w:ascii="仿宋_GB2312" w:hAnsi="仿宋_GB2312" w:eastAsia="仿宋_GB2312"/>
          <w:b w:val="0"/>
          <w:sz w:val="32"/>
        </w:rPr>
        <w:t>2024年度喀什经济开发区管委会招商局（行政单位和参照公务员法管理事业单位）机关运行经费支出11.67万元，比上年减少0.36万元，下降2.99%，主要原因是：严控经费支出，厉行节约，减少经费支出。</w:t>
      </w:r>
    </w:p>
    <w:p w14:paraId="0E2041C1">
      <w:pPr>
        <w:spacing w:line="640" w:lineRule="exact"/>
        <w:ind w:firstLine="640"/>
        <w:jc w:val="both"/>
        <w:outlineLvl w:val="3"/>
      </w:pPr>
      <w:r>
        <w:rPr>
          <w:rFonts w:ascii="楷体_GB2312" w:hAnsi="楷体_GB2312" w:eastAsia="楷体_GB2312"/>
          <w:b/>
          <w:sz w:val="32"/>
        </w:rPr>
        <w:t>（二）政府采购情况</w:t>
      </w:r>
    </w:p>
    <w:p w14:paraId="66623F10">
      <w:pPr>
        <w:spacing w:line="580" w:lineRule="exact"/>
        <w:ind w:firstLine="640"/>
        <w:jc w:val="both"/>
      </w:pPr>
      <w:r>
        <w:rPr>
          <w:rFonts w:ascii="仿宋_GB2312" w:hAnsi="仿宋_GB2312" w:eastAsia="仿宋_GB2312"/>
          <w:b w:val="0"/>
          <w:sz w:val="32"/>
        </w:rPr>
        <w:t>2024年度政府采购支出总额107.26万元，其中：政府采购货物支出7.88万元、政府采购工程支出0.00万元、政府采购服务支出99.38万元。</w:t>
      </w:r>
    </w:p>
    <w:p w14:paraId="52264424">
      <w:pPr>
        <w:spacing w:line="580" w:lineRule="exact"/>
        <w:ind w:firstLine="640"/>
        <w:jc w:val="both"/>
      </w:pPr>
      <w:r>
        <w:rPr>
          <w:rFonts w:ascii="仿宋_GB2312" w:hAnsi="仿宋_GB2312" w:eastAsia="仿宋_GB2312"/>
          <w:b w:val="0"/>
          <w:sz w:val="32"/>
        </w:rPr>
        <w:t>授予中小企业合同金额107.26万元，占政府采购支出总额的100.00%，其中：授予小微企业合同金额107.03万元，占政府采购支出总额的99.79%。</w:t>
      </w:r>
    </w:p>
    <w:p w14:paraId="05C00D2C">
      <w:pPr>
        <w:spacing w:line="640" w:lineRule="exact"/>
        <w:ind w:firstLine="640"/>
        <w:jc w:val="both"/>
        <w:outlineLvl w:val="3"/>
      </w:pPr>
      <w:r>
        <w:rPr>
          <w:rFonts w:ascii="楷体_GB2312" w:hAnsi="楷体_GB2312" w:eastAsia="楷体_GB2312"/>
          <w:b/>
          <w:sz w:val="32"/>
        </w:rPr>
        <w:t>（三）国有资产占用情况说明</w:t>
      </w:r>
    </w:p>
    <w:p w14:paraId="14843514">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12BB4651">
      <w:pPr>
        <w:spacing w:line="640" w:lineRule="exact"/>
        <w:ind w:firstLine="640"/>
        <w:jc w:val="both"/>
        <w:outlineLvl w:val="2"/>
      </w:pPr>
      <w:r>
        <w:rPr>
          <w:rFonts w:ascii="黑体" w:hAnsi="黑体" w:eastAsia="黑体"/>
          <w:sz w:val="32"/>
        </w:rPr>
        <w:t>十一、预算绩效的情况说明</w:t>
      </w:r>
    </w:p>
    <w:p w14:paraId="432F333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640.70万元，实际执行总额562.19万元；预算绩效评价项目5个，全年预算数270.60万元，全年执行数269.63万元。预算绩效管理取得的成效：一是单位严格遵守《新疆维吾尔自治区项目绩效管理办法》等法规、制度</w:t>
      </w:r>
      <w:r>
        <w:rPr>
          <w:rFonts w:hint="eastAsia" w:ascii="仿宋_GB2312" w:hAnsi="仿宋_GB2312" w:eastAsia="仿宋_GB2312"/>
          <w:b w:val="0"/>
          <w:sz w:val="32"/>
          <w:lang w:eastAsia="zh-CN"/>
        </w:rPr>
        <w:t>，严</w:t>
      </w:r>
      <w:r>
        <w:rPr>
          <w:rFonts w:ascii="仿宋_GB2312" w:hAnsi="仿宋_GB2312" w:eastAsia="仿宋_GB2312"/>
          <w:b w:val="0"/>
          <w:sz w:val="32"/>
        </w:rPr>
        <w:t>格遵守项目法人责任制，遵循资金审查程序，确保资金按项目进度及时足额拨付到位，不存在截留、挤占、挪用、虚列支出等情况，积极推进项目实施，切实发挥项目实效。二是本单位整体支出绩效</w:t>
      </w:r>
      <w:r>
        <w:rPr>
          <w:rFonts w:hint="eastAsia" w:ascii="仿宋_GB2312" w:hAnsi="仿宋_GB2312" w:eastAsia="仿宋_GB2312"/>
          <w:b w:val="0"/>
          <w:sz w:val="32"/>
          <w:lang w:eastAsia="zh-CN"/>
        </w:rPr>
        <w:t>目标</w:t>
      </w:r>
      <w:r>
        <w:rPr>
          <w:rFonts w:ascii="仿宋_GB2312" w:hAnsi="仿宋_GB2312" w:eastAsia="仿宋_GB2312"/>
          <w:b w:val="0"/>
          <w:sz w:val="32"/>
        </w:rPr>
        <w:t>基本支出和项目支出均已按年初既定目标保质保量完成。三是从预算收支管理、资产管理、政府采购管理、合同管理等方面，健全和完善单位财务管理制度、坚定实施各项内部控制制度。发现的问题及原因：一是部分业务人员绩效管理意识有待增强，未能全面深入认识理解绩效管理工作的意义。绩效管理经验不足，预算绩效管理工作有待进一步落实。二是预算绩效管理水平仍有欠缺。绩效指标的明确性、可衡量性、相关性还需进一步提升。预算精细化管理还需完善，预算编制管理水平仍有进一步提升的空间。下一步改进措施：一是加大绩效工作宣传力度，强化绩效理念。完善绩效指标，提高整体绩效目标质量。提升预算精细化管理水平。继续完善预算绩效管理相关工作制度，建立全过程预算绩效管理链条，有效贯彻落实全面实施绩效管理的精神。二是增强部分业务人员绩效管理意识，全面深入认识理解绩效管理工作的意义。积累经验绩效管理，进一步落实预算绩效管理工作。具体附整体支出绩效自评表，项目支出绩效自评表和评价报告。</w:t>
      </w:r>
    </w:p>
    <w:p w14:paraId="7615656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C165475">
        <w:tc>
          <w:tcPr>
            <w:tcW w:w="8847" w:type="dxa"/>
            <w:gridSpan w:val="9"/>
            <w:vAlign w:val="center"/>
          </w:tcPr>
          <w:p w14:paraId="631CE032">
            <w:pPr>
              <w:jc w:val="center"/>
            </w:pPr>
            <w:r>
              <w:rPr>
                <w:rFonts w:ascii="宋体" w:hAnsi="宋体" w:eastAsia="宋体"/>
                <w:sz w:val="24"/>
              </w:rPr>
              <w:t>单位整体支出绩效自评表</w:t>
            </w:r>
          </w:p>
        </w:tc>
      </w:tr>
      <w:tr w14:paraId="4F376DBC">
        <w:tblPrEx>
          <w:tblCellMar>
            <w:top w:w="0" w:type="dxa"/>
            <w:left w:w="108" w:type="dxa"/>
            <w:bottom w:w="0" w:type="dxa"/>
            <w:right w:w="108" w:type="dxa"/>
          </w:tblCellMar>
        </w:tblPrEx>
        <w:tc>
          <w:tcPr>
            <w:tcW w:w="8847" w:type="dxa"/>
            <w:gridSpan w:val="9"/>
            <w:vAlign w:val="center"/>
          </w:tcPr>
          <w:p w14:paraId="1239EE4A">
            <w:pPr>
              <w:jc w:val="center"/>
            </w:pPr>
            <w:r>
              <w:rPr>
                <w:rFonts w:ascii="宋体" w:hAnsi="宋体" w:eastAsia="宋体"/>
                <w:sz w:val="24"/>
              </w:rPr>
              <w:t>（2024年度）</w:t>
            </w:r>
          </w:p>
        </w:tc>
      </w:tr>
      <w:tr w14:paraId="28E4CAB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3180D">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DADC020">
            <w:pPr>
              <w:jc w:val="center"/>
            </w:pPr>
            <w:r>
              <w:rPr>
                <w:rFonts w:ascii="宋体" w:hAnsi="宋体" w:eastAsia="宋体"/>
                <w:sz w:val="16"/>
              </w:rPr>
              <w:t>喀什经济开发区管委会招商局</w:t>
            </w:r>
          </w:p>
        </w:tc>
      </w:tr>
      <w:tr w14:paraId="340EECD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4217AC">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91582">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47DC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7899E">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67281">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2FE9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84425">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2AEC2">
            <w:pPr>
              <w:jc w:val="center"/>
            </w:pPr>
            <w:r>
              <w:rPr>
                <w:rFonts w:ascii="宋体" w:hAnsi="宋体" w:eastAsia="宋体"/>
                <w:sz w:val="16"/>
              </w:rPr>
              <w:t>得分</w:t>
            </w:r>
          </w:p>
        </w:tc>
      </w:tr>
      <w:tr w14:paraId="0278E0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38782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3A66E">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AD4B8">
            <w:pPr>
              <w:jc w:val="center"/>
            </w:pPr>
            <w:r>
              <w:rPr>
                <w:rFonts w:ascii="宋体" w:hAnsi="宋体" w:eastAsia="宋体"/>
                <w:sz w:val="16"/>
              </w:rPr>
              <w:t>1,365.75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B2583">
            <w:pPr>
              <w:jc w:val="center"/>
            </w:pPr>
            <w:r>
              <w:rPr>
                <w:rFonts w:ascii="宋体" w:hAnsi="宋体" w:eastAsia="宋体"/>
                <w:sz w:val="16"/>
              </w:rPr>
              <w:t>640.70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557C9">
            <w:pPr>
              <w:jc w:val="center"/>
            </w:pPr>
            <w:r>
              <w:rPr>
                <w:rFonts w:ascii="宋体" w:hAnsi="宋体" w:eastAsia="宋体"/>
                <w:sz w:val="16"/>
              </w:rPr>
              <w:t>562.19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ABAB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FD998">
            <w:pPr>
              <w:jc w:val="center"/>
            </w:pPr>
            <w:r>
              <w:rPr>
                <w:rFonts w:ascii="宋体" w:hAnsi="宋体" w:eastAsia="宋体"/>
                <w:sz w:val="16"/>
              </w:rPr>
              <w:t>87.75%</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AE516">
            <w:pPr>
              <w:jc w:val="center"/>
            </w:pPr>
            <w:r>
              <w:rPr>
                <w:rFonts w:ascii="宋体" w:hAnsi="宋体" w:eastAsia="宋体"/>
                <w:sz w:val="16"/>
              </w:rPr>
              <w:t>8.78</w:t>
            </w:r>
          </w:p>
        </w:tc>
      </w:tr>
      <w:tr w14:paraId="0E9AEE1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35BB4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216A2">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0769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3022D">
            <w:pPr>
              <w:jc w:val="center"/>
            </w:pPr>
            <w:r>
              <w:rPr>
                <w:rFonts w:ascii="宋体" w:hAnsi="宋体" w:eastAsia="宋体"/>
                <w:sz w:val="16"/>
              </w:rPr>
              <w:t>30.55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6D232">
            <w:pPr>
              <w:jc w:val="center"/>
            </w:pPr>
            <w:r>
              <w:rPr>
                <w:rFonts w:ascii="宋体" w:hAnsi="宋体" w:eastAsia="宋体"/>
                <w:sz w:val="16"/>
              </w:rPr>
              <w:t>30.55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EE99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37227">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218A3">
            <w:pPr>
              <w:jc w:val="center"/>
            </w:pPr>
            <w:r>
              <w:rPr>
                <w:rFonts w:ascii="宋体" w:hAnsi="宋体" w:eastAsia="宋体"/>
                <w:sz w:val="16"/>
              </w:rPr>
              <w:t>—</w:t>
            </w:r>
          </w:p>
        </w:tc>
      </w:tr>
      <w:tr w14:paraId="07657B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66746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D57C5">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09CD1">
            <w:pPr>
              <w:jc w:val="center"/>
            </w:pPr>
            <w:r>
              <w:rPr>
                <w:rFonts w:ascii="宋体" w:hAnsi="宋体" w:eastAsia="宋体"/>
                <w:sz w:val="16"/>
              </w:rPr>
              <w:t>1,365.75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A5789">
            <w:pPr>
              <w:jc w:val="center"/>
            </w:pPr>
            <w:r>
              <w:rPr>
                <w:rFonts w:ascii="宋体" w:hAnsi="宋体" w:eastAsia="宋体"/>
                <w:sz w:val="16"/>
              </w:rPr>
              <w:t>610.15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C918E">
            <w:pPr>
              <w:jc w:val="center"/>
            </w:pPr>
            <w:r>
              <w:rPr>
                <w:rFonts w:ascii="宋体" w:hAnsi="宋体" w:eastAsia="宋体"/>
                <w:sz w:val="16"/>
              </w:rPr>
              <w:t>531.64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57A9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65661">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CE5FF">
            <w:pPr>
              <w:jc w:val="center"/>
            </w:pPr>
            <w:r>
              <w:rPr>
                <w:rFonts w:ascii="宋体" w:hAnsi="宋体" w:eastAsia="宋体"/>
                <w:sz w:val="16"/>
              </w:rPr>
              <w:t>—</w:t>
            </w:r>
          </w:p>
        </w:tc>
      </w:tr>
      <w:tr w14:paraId="037F76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EA647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94838">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179F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A98A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B090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8C4F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1CFF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33CC5">
            <w:pPr>
              <w:jc w:val="center"/>
            </w:pPr>
            <w:r>
              <w:rPr>
                <w:rFonts w:ascii="宋体" w:hAnsi="宋体" w:eastAsia="宋体"/>
                <w:sz w:val="16"/>
              </w:rPr>
              <w:t>—</w:t>
            </w:r>
          </w:p>
        </w:tc>
      </w:tr>
      <w:tr w14:paraId="79CB46E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16D14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58D117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873B82">
            <w:pPr>
              <w:jc w:val="center"/>
            </w:pPr>
            <w:r>
              <w:rPr>
                <w:rFonts w:ascii="宋体" w:hAnsi="宋体" w:eastAsia="宋体"/>
                <w:sz w:val="16"/>
              </w:rPr>
              <w:t>实际完成情况</w:t>
            </w:r>
          </w:p>
        </w:tc>
      </w:tr>
      <w:tr w14:paraId="5C665B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3ED8B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D2CBD7E">
            <w:pPr>
              <w:jc w:val="both"/>
            </w:pPr>
            <w:r>
              <w:rPr>
                <w:rFonts w:ascii="宋体" w:hAnsi="宋体" w:eastAsia="宋体"/>
                <w:sz w:val="16"/>
              </w:rPr>
              <w:t>根据2024年工作任务计划，确保统发干部基本工资，津贴补贴，奖金等工资福利及社会保障缴费、住房公积金及其他工资福利支出、临聘人员补助及其他对个人家庭补助支出；保障办公费，水费，电费，邮电费，基本公用支出，工会福利支出等，确保单位日常工作顺利进行；支付招商引资工作经费，有效推介宣传喀什经济开发区形成良好</w:t>
            </w:r>
            <w:r>
              <w:rPr>
                <w:rFonts w:hint="eastAsia" w:ascii="宋体" w:hAnsi="宋体"/>
                <w:sz w:val="16"/>
                <w:lang w:eastAsia="zh-CN"/>
              </w:rPr>
              <w:t>营商环境</w:t>
            </w:r>
            <w:r>
              <w:rPr>
                <w:rFonts w:ascii="宋体" w:hAnsi="宋体" w:eastAsia="宋体"/>
                <w:sz w:val="16"/>
              </w:rPr>
              <w:t>。按照党工委提出的目标任务，重点围绕地区“一体两翼”发展主线，盯牢全年目标，量化月季目标，推动招商工作高质量发展。将总体目标分解为产出和效益，招商引资到位资金116亿元，工业到位资金40亿元，外出招商推介15批次，新签约项目20个，新建亿元项目不少于20个。精准谋划提高招商精准性和实效性，创新招商方式，拓宽招商渠道，构建立体招商格局，聚焦重点产业，在招大引强上实现新突破。</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74A499">
            <w:pPr>
              <w:jc w:val="both"/>
            </w:pPr>
            <w:r>
              <w:rPr>
                <w:rFonts w:ascii="宋体" w:hAnsi="宋体" w:eastAsia="宋体"/>
                <w:sz w:val="16"/>
              </w:rPr>
              <w:t>今年，在喀什地委、行署的坚强领导，党工委、管委会的科学指导，以及开发区各部门、片区的通力协作下，开发区招商引资工作稳步推进，外向型“一体两翼”主导产业体系持续优化，建圈强链工程深入实施，为高质量发展筑牢招商根基。现将工作情况汇报如下：</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一、项目执行情况</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1 - 11月，全区累计推进招商引资项目94个，其中新建项目61个、结转项目33个，计划总投资228.82亿元（新建项目189.55亿元，结转项目39.27亿元），到位资金108.79亿元（新建项目85.96亿元，结转项目22.83亿元），同比虽下降4.35%，但已完成年度140亿元目标任务的77.71%。其中，工业项目到位资金57.25亿元，完成全年88亿元目标的65.08%；新建亿元以上项目达40个，超额完成全年20个目标任务的200%，同比增长48.15%。</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1）主体园区：落地项目57个（新建46个，结转11个），计划总投资156.31亿元（新建126.85亿元，结转29.46亿元），到位资金91亿元（新建72.03亿元，结转18.97亿元），同比增长0.34%，完成年度116亿元目标的78.45%。工业项目到位资金41.74亿元，达全年81.2亿元目标的51.4%；新建亿元以上项目32个，完成年度目标的160%，同比增长18.52% 。</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（2）十一县产业园区：推进项目37个（新建15个，续建22个），计划总投资72.51亿元（新建62.7亿元，结转9.81亿元），到位资金17.79亿元（新建13.93亿元，结转3.86亿元），同比下降22.82%，完成全年24亿元目标的74.13%。</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二、项目签约成果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新签订招商引资合同22个，签约金额82.63亿元，较2023年合同数量、签约金额分别增长49.61%和39.12%，招商吸引力显著增强。</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三、客商接待情况</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全年累计接洽疆内外来访客商254批次、365家、1188人次，尽管来访企业数量和客商人数较2023年分别减少3.06%和18.7%，但招商对接工作持续高效开展。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四、小分队招商成效</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全年共派出招商小分队28批次，同比增长22.72%，拜访企业140家，成功签订5个框架协议项目，签约金额约46.5亿元。其中，党工委、管委会主要领导带队9批次、42人次，拜访53家企业，促成4个框架协议项目落地，签约金额达44.5亿元，充分发挥引领示范作用。</w:t>
            </w:r>
          </w:p>
        </w:tc>
      </w:tr>
      <w:tr w14:paraId="60A11B0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99F0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764B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A7FC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4E048">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1F29C">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9246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E0B5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04707">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FDFD6">
            <w:pPr>
              <w:jc w:val="center"/>
            </w:pPr>
            <w:r>
              <w:rPr>
                <w:rFonts w:ascii="宋体" w:hAnsi="宋体" w:eastAsia="宋体"/>
                <w:sz w:val="16"/>
              </w:rPr>
              <w:t>得分</w:t>
            </w:r>
          </w:p>
        </w:tc>
      </w:tr>
      <w:tr w14:paraId="66330F0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8A230A">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74B42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2EF48">
            <w:pPr>
              <w:jc w:val="center"/>
            </w:pPr>
            <w:r>
              <w:rPr>
                <w:rFonts w:ascii="宋体" w:hAnsi="宋体" w:eastAsia="宋体"/>
                <w:sz w:val="16"/>
              </w:rPr>
              <w:t>招商引资到位资金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A5E7E">
            <w:pPr>
              <w:jc w:val="center"/>
            </w:pPr>
            <w:r>
              <w:rPr>
                <w:rFonts w:ascii="宋体" w:hAnsi="宋体" w:eastAsia="宋体"/>
                <w:sz w:val="16"/>
              </w:rPr>
              <w:t>&gt;=116亿元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B30F3">
            <w:pPr>
              <w:jc w:val="center"/>
            </w:pPr>
            <w:r>
              <w:rPr>
                <w:rFonts w:ascii="宋体" w:hAnsi="宋体" w:eastAsia="宋体"/>
                <w:sz w:val="16"/>
              </w:rPr>
              <w:t>喀经开发</w:t>
            </w:r>
            <w:r>
              <w:rPr>
                <w:rFonts w:hint="eastAsia" w:ascii="宋体" w:hAnsi="宋体"/>
                <w:sz w:val="16"/>
                <w:lang w:eastAsia="zh-CN"/>
              </w:rPr>
              <w:t>〔</w:t>
            </w:r>
            <w:r>
              <w:rPr>
                <w:rFonts w:ascii="宋体" w:hAnsi="宋体" w:eastAsia="宋体"/>
                <w:sz w:val="16"/>
              </w:rPr>
              <w:t>2024</w:t>
            </w:r>
            <w:r>
              <w:rPr>
                <w:rFonts w:hint="eastAsia" w:ascii="宋体" w:hAnsi="宋体"/>
                <w:sz w:val="16"/>
                <w:lang w:eastAsia="zh-CN"/>
              </w:rPr>
              <w:t>〕</w:t>
            </w:r>
            <w:bookmarkStart w:id="0" w:name="_GoBack"/>
            <w:bookmarkEnd w:id="0"/>
            <w:r>
              <w:rPr>
                <w:rFonts w:ascii="宋体" w:hAnsi="宋体" w:eastAsia="宋体"/>
                <w:sz w:val="16"/>
              </w:rPr>
              <w:t>7号喀什经济开发区2024年招商引资工作方案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6101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2D562">
            <w:pPr>
              <w:jc w:val="center"/>
            </w:pPr>
            <w:r>
              <w:rPr>
                <w:rFonts w:ascii="宋体" w:hAnsi="宋体" w:eastAsia="宋体"/>
                <w:sz w:val="16"/>
              </w:rPr>
              <w:t>108.79亿元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78A381">
            <w:pPr>
              <w:jc w:val="center"/>
            </w:pPr>
            <w:r>
              <w:rPr>
                <w:rFonts w:ascii="宋体" w:hAnsi="宋体" w:eastAsia="宋体"/>
                <w:sz w:val="16"/>
              </w:rPr>
              <w:t>93.78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FC680">
            <w:pPr>
              <w:jc w:val="center"/>
            </w:pPr>
            <w:r>
              <w:rPr>
                <w:rFonts w:ascii="宋体" w:hAnsi="宋体" w:eastAsia="宋体"/>
                <w:sz w:val="16"/>
              </w:rPr>
              <w:t>18.76</w:t>
            </w:r>
          </w:p>
        </w:tc>
      </w:tr>
      <w:tr w14:paraId="51C946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25B38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7812A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19320">
            <w:pPr>
              <w:jc w:val="center"/>
            </w:pPr>
            <w:r>
              <w:rPr>
                <w:rFonts w:ascii="宋体" w:hAnsi="宋体" w:eastAsia="宋体"/>
                <w:sz w:val="16"/>
              </w:rPr>
              <w:t>外出招商推介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7F990">
            <w:pPr>
              <w:jc w:val="center"/>
            </w:pPr>
            <w:r>
              <w:rPr>
                <w:rFonts w:ascii="宋体" w:hAnsi="宋体" w:eastAsia="宋体"/>
                <w:sz w:val="16"/>
              </w:rPr>
              <w:t>&gt;=15批次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8855C">
            <w:pPr>
              <w:jc w:val="center"/>
            </w:pPr>
            <w:r>
              <w:rPr>
                <w:rFonts w:ascii="宋体" w:hAnsi="宋体" w:eastAsia="宋体"/>
                <w:sz w:val="16"/>
              </w:rPr>
              <w:t>喀经开发</w:t>
            </w:r>
            <w:r>
              <w:rPr>
                <w:rFonts w:hint="eastAsia" w:ascii="宋体" w:hAnsi="宋体"/>
                <w:sz w:val="16"/>
                <w:lang w:eastAsia="zh-CN"/>
              </w:rPr>
              <w:t>〔</w:t>
            </w:r>
            <w:r>
              <w:rPr>
                <w:rFonts w:ascii="宋体" w:hAnsi="宋体" w:eastAsia="宋体"/>
                <w:sz w:val="16"/>
              </w:rPr>
              <w:t>2024</w:t>
            </w:r>
            <w:r>
              <w:rPr>
                <w:rFonts w:hint="eastAsia" w:ascii="宋体" w:hAnsi="宋体"/>
                <w:sz w:val="16"/>
                <w:lang w:eastAsia="zh-CN"/>
              </w:rPr>
              <w:t>〕</w:t>
            </w:r>
            <w:r>
              <w:rPr>
                <w:rFonts w:ascii="宋体" w:hAnsi="宋体" w:eastAsia="宋体"/>
                <w:sz w:val="16"/>
              </w:rPr>
              <w:t>7号喀什经济开发区2024年招商引资工作方案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0659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87B83">
            <w:pPr>
              <w:jc w:val="center"/>
            </w:pPr>
            <w:r>
              <w:rPr>
                <w:rFonts w:ascii="宋体" w:hAnsi="宋体" w:eastAsia="宋体"/>
                <w:sz w:val="16"/>
              </w:rPr>
              <w:t>28批次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ED81C">
            <w:pPr>
              <w:jc w:val="center"/>
            </w:pPr>
            <w:r>
              <w:rPr>
                <w:rFonts w:ascii="宋体" w:hAnsi="宋体" w:eastAsia="宋体"/>
                <w:sz w:val="16"/>
              </w:rPr>
              <w:t>186.7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38AA9">
            <w:pPr>
              <w:jc w:val="center"/>
            </w:pPr>
            <w:r>
              <w:rPr>
                <w:rFonts w:ascii="宋体" w:hAnsi="宋体" w:eastAsia="宋体"/>
                <w:sz w:val="16"/>
              </w:rPr>
              <w:t>20</w:t>
            </w:r>
          </w:p>
        </w:tc>
      </w:tr>
      <w:tr w14:paraId="0C2475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1299C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06562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BCA42">
            <w:pPr>
              <w:jc w:val="center"/>
            </w:pPr>
            <w:r>
              <w:rPr>
                <w:rFonts w:ascii="宋体" w:hAnsi="宋体" w:eastAsia="宋体"/>
                <w:sz w:val="16"/>
              </w:rPr>
              <w:t>工业到位资金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1096F">
            <w:pPr>
              <w:jc w:val="center"/>
            </w:pPr>
            <w:r>
              <w:rPr>
                <w:rFonts w:ascii="宋体" w:hAnsi="宋体" w:eastAsia="宋体"/>
                <w:sz w:val="16"/>
              </w:rPr>
              <w:t>&gt;=40亿元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DB6FE">
            <w:pPr>
              <w:jc w:val="center"/>
            </w:pPr>
            <w:r>
              <w:rPr>
                <w:rFonts w:ascii="宋体" w:hAnsi="宋体" w:eastAsia="宋体"/>
                <w:sz w:val="16"/>
              </w:rPr>
              <w:t>喀经开发</w:t>
            </w:r>
            <w:r>
              <w:rPr>
                <w:rFonts w:hint="eastAsia" w:ascii="宋体" w:hAnsi="宋体"/>
                <w:sz w:val="16"/>
                <w:lang w:eastAsia="zh-CN"/>
              </w:rPr>
              <w:t>〔</w:t>
            </w:r>
            <w:r>
              <w:rPr>
                <w:rFonts w:ascii="宋体" w:hAnsi="宋体" w:eastAsia="宋体"/>
                <w:sz w:val="16"/>
              </w:rPr>
              <w:t>2024</w:t>
            </w:r>
            <w:r>
              <w:rPr>
                <w:rFonts w:hint="eastAsia" w:ascii="宋体" w:hAnsi="宋体"/>
                <w:sz w:val="16"/>
                <w:lang w:eastAsia="zh-CN"/>
              </w:rPr>
              <w:t>〕</w:t>
            </w:r>
            <w:r>
              <w:rPr>
                <w:rFonts w:ascii="宋体" w:hAnsi="宋体" w:eastAsia="宋体"/>
                <w:sz w:val="16"/>
              </w:rPr>
              <w:t>7号喀什经济开发区2024年招商引资工作方案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85F3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B78D3">
            <w:pPr>
              <w:jc w:val="center"/>
            </w:pPr>
            <w:r>
              <w:rPr>
                <w:rFonts w:ascii="宋体" w:hAnsi="宋体" w:eastAsia="宋体"/>
                <w:sz w:val="16"/>
              </w:rPr>
              <w:t>57.25亿元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804D9">
            <w:pPr>
              <w:jc w:val="center"/>
            </w:pPr>
            <w:r>
              <w:rPr>
                <w:rFonts w:ascii="宋体" w:hAnsi="宋体" w:eastAsia="宋体"/>
                <w:sz w:val="16"/>
              </w:rPr>
              <w:t>143.12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57AB6">
            <w:pPr>
              <w:jc w:val="center"/>
            </w:pPr>
            <w:r>
              <w:rPr>
                <w:rFonts w:ascii="宋体" w:hAnsi="宋体" w:eastAsia="宋体"/>
                <w:sz w:val="16"/>
              </w:rPr>
              <w:t>20</w:t>
            </w:r>
          </w:p>
        </w:tc>
      </w:tr>
      <w:tr w14:paraId="4AA47F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92F84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A15ED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F62E6">
            <w:pPr>
              <w:jc w:val="center"/>
            </w:pPr>
            <w:r>
              <w:rPr>
                <w:rFonts w:ascii="宋体" w:hAnsi="宋体" w:eastAsia="宋体"/>
                <w:sz w:val="16"/>
              </w:rPr>
              <w:t>新签约项目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84345">
            <w:pPr>
              <w:jc w:val="center"/>
            </w:pPr>
            <w:r>
              <w:rPr>
                <w:rFonts w:ascii="宋体" w:hAnsi="宋体" w:eastAsia="宋体"/>
                <w:sz w:val="16"/>
              </w:rPr>
              <w:t>&gt;=20个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2906E">
            <w:pPr>
              <w:jc w:val="center"/>
            </w:pPr>
            <w:r>
              <w:rPr>
                <w:rFonts w:ascii="宋体" w:hAnsi="宋体" w:eastAsia="宋体"/>
                <w:sz w:val="16"/>
              </w:rPr>
              <w:t>喀经开发</w:t>
            </w:r>
            <w:r>
              <w:rPr>
                <w:rFonts w:hint="eastAsia" w:ascii="宋体" w:hAnsi="宋体"/>
                <w:sz w:val="16"/>
                <w:lang w:eastAsia="zh-CN"/>
              </w:rPr>
              <w:t>〔</w:t>
            </w:r>
            <w:r>
              <w:rPr>
                <w:rFonts w:ascii="宋体" w:hAnsi="宋体" w:eastAsia="宋体"/>
                <w:sz w:val="16"/>
              </w:rPr>
              <w:t>2024</w:t>
            </w:r>
            <w:r>
              <w:rPr>
                <w:rFonts w:hint="eastAsia" w:ascii="宋体" w:hAnsi="宋体"/>
                <w:sz w:val="16"/>
                <w:lang w:eastAsia="zh-CN"/>
              </w:rPr>
              <w:t>〕</w:t>
            </w:r>
            <w:r>
              <w:rPr>
                <w:rFonts w:ascii="宋体" w:hAnsi="宋体" w:eastAsia="宋体"/>
                <w:sz w:val="16"/>
              </w:rPr>
              <w:t>7号喀什经济开发区2024年招商引资工作方案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FF79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0C931">
            <w:pPr>
              <w:jc w:val="center"/>
            </w:pPr>
            <w:r>
              <w:rPr>
                <w:rFonts w:ascii="宋体" w:hAnsi="宋体" w:eastAsia="宋体"/>
                <w:sz w:val="16"/>
              </w:rPr>
              <w:t>22个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655F1">
            <w:pPr>
              <w:jc w:val="center"/>
            </w:pPr>
            <w:r>
              <w:rPr>
                <w:rFonts w:ascii="宋体" w:hAnsi="宋体" w:eastAsia="宋体"/>
                <w:sz w:val="16"/>
              </w:rPr>
              <w:t>110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ECCB4">
            <w:pPr>
              <w:jc w:val="center"/>
            </w:pPr>
            <w:r>
              <w:rPr>
                <w:rFonts w:ascii="宋体" w:hAnsi="宋体" w:eastAsia="宋体"/>
                <w:sz w:val="16"/>
              </w:rPr>
              <w:t>20</w:t>
            </w:r>
          </w:p>
        </w:tc>
      </w:tr>
      <w:tr w14:paraId="1C792B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BD3E5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D15B5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4F120">
            <w:pPr>
              <w:jc w:val="center"/>
            </w:pPr>
            <w:r>
              <w:rPr>
                <w:rFonts w:ascii="宋体" w:hAnsi="宋体" w:eastAsia="宋体"/>
                <w:sz w:val="16"/>
              </w:rPr>
              <w:t>新建亿元项目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4999B">
            <w:pPr>
              <w:jc w:val="center"/>
            </w:pPr>
            <w:r>
              <w:rPr>
                <w:rFonts w:ascii="宋体" w:hAnsi="宋体" w:eastAsia="宋体"/>
                <w:sz w:val="16"/>
              </w:rPr>
              <w:t>&gt;=20个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BBA628">
            <w:pPr>
              <w:jc w:val="center"/>
            </w:pPr>
            <w:r>
              <w:rPr>
                <w:rFonts w:ascii="宋体" w:hAnsi="宋体" w:eastAsia="宋体"/>
                <w:sz w:val="16"/>
              </w:rPr>
              <w:t>喀经开发</w:t>
            </w:r>
            <w:r>
              <w:rPr>
                <w:rFonts w:hint="eastAsia" w:ascii="宋体" w:hAnsi="宋体"/>
                <w:sz w:val="16"/>
                <w:lang w:eastAsia="zh-CN"/>
              </w:rPr>
              <w:t>〔</w:t>
            </w:r>
            <w:r>
              <w:rPr>
                <w:rFonts w:ascii="宋体" w:hAnsi="宋体" w:eastAsia="宋体"/>
                <w:sz w:val="16"/>
              </w:rPr>
              <w:t>2024</w:t>
            </w:r>
            <w:r>
              <w:rPr>
                <w:rFonts w:hint="eastAsia" w:ascii="宋体" w:hAnsi="宋体"/>
                <w:sz w:val="16"/>
                <w:lang w:eastAsia="zh-CN"/>
              </w:rPr>
              <w:t>〕</w:t>
            </w:r>
            <w:r>
              <w:rPr>
                <w:rFonts w:ascii="宋体" w:hAnsi="宋体" w:eastAsia="宋体"/>
                <w:sz w:val="16"/>
              </w:rPr>
              <w:t>7号喀什经济开发区2024年招商引资工作方案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20BD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5E457">
            <w:pPr>
              <w:jc w:val="center"/>
            </w:pPr>
            <w:r>
              <w:rPr>
                <w:rFonts w:ascii="宋体" w:hAnsi="宋体" w:eastAsia="宋体"/>
                <w:sz w:val="16"/>
              </w:rPr>
              <w:t>40个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B4FFD">
            <w:pPr>
              <w:jc w:val="center"/>
            </w:pPr>
            <w:r>
              <w:rPr>
                <w:rFonts w:ascii="宋体" w:hAnsi="宋体" w:eastAsia="宋体"/>
                <w:sz w:val="16"/>
              </w:rPr>
              <w:t>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C954C">
            <w:pPr>
              <w:jc w:val="center"/>
            </w:pPr>
            <w:r>
              <w:rPr>
                <w:rFonts w:ascii="宋体" w:hAnsi="宋体" w:eastAsia="宋体"/>
                <w:sz w:val="16"/>
              </w:rPr>
              <w:t>10</w:t>
            </w:r>
          </w:p>
        </w:tc>
      </w:tr>
    </w:tbl>
    <w:p w14:paraId="3445D4C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5154D668">
        <w:tblPrEx>
          <w:tblCellMar>
            <w:top w:w="0" w:type="dxa"/>
            <w:left w:w="108" w:type="dxa"/>
            <w:bottom w:w="0" w:type="dxa"/>
            <w:right w:w="108" w:type="dxa"/>
          </w:tblCellMar>
        </w:tblPrEx>
        <w:tc>
          <w:tcPr>
            <w:tcW w:w="8848" w:type="dxa"/>
            <w:gridSpan w:val="14"/>
            <w:vAlign w:val="center"/>
          </w:tcPr>
          <w:p w14:paraId="17924007">
            <w:pPr>
              <w:jc w:val="center"/>
            </w:pPr>
            <w:r>
              <w:rPr>
                <w:rFonts w:ascii="宋体" w:hAnsi="宋体" w:eastAsia="宋体"/>
                <w:sz w:val="24"/>
              </w:rPr>
              <w:t>项目支出绩效自评表</w:t>
            </w:r>
          </w:p>
        </w:tc>
      </w:tr>
      <w:tr w14:paraId="04AE57EF">
        <w:tblPrEx>
          <w:tblCellMar>
            <w:top w:w="0" w:type="dxa"/>
            <w:left w:w="108" w:type="dxa"/>
            <w:bottom w:w="0" w:type="dxa"/>
            <w:right w:w="108" w:type="dxa"/>
          </w:tblCellMar>
        </w:tblPrEx>
        <w:tc>
          <w:tcPr>
            <w:tcW w:w="8848" w:type="dxa"/>
            <w:gridSpan w:val="14"/>
            <w:vAlign w:val="center"/>
          </w:tcPr>
          <w:p w14:paraId="430CDB25">
            <w:pPr>
              <w:jc w:val="center"/>
            </w:pPr>
            <w:r>
              <w:rPr>
                <w:rFonts w:ascii="宋体" w:hAnsi="宋体" w:eastAsia="宋体"/>
                <w:sz w:val="24"/>
              </w:rPr>
              <w:t>(2024年度)</w:t>
            </w:r>
          </w:p>
        </w:tc>
      </w:tr>
      <w:tr w14:paraId="663D82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9813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15BC6B4">
            <w:pPr>
              <w:jc w:val="center"/>
            </w:pPr>
            <w:r>
              <w:rPr>
                <w:rFonts w:ascii="宋体" w:hAnsi="宋体" w:eastAsia="宋体"/>
                <w:sz w:val="16"/>
              </w:rPr>
              <w:t>委托律师代理及法律诉讼费项目</w:t>
            </w:r>
          </w:p>
        </w:tc>
      </w:tr>
      <w:tr w14:paraId="24DA49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C209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8DC41F">
            <w:pPr>
              <w:jc w:val="center"/>
            </w:pPr>
            <w:r>
              <w:rPr>
                <w:rFonts w:ascii="宋体" w:hAnsi="宋体" w:eastAsia="宋体"/>
                <w:sz w:val="16"/>
              </w:rPr>
              <w:t>喀什经济开发区管委会招商局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47BE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285193">
            <w:pPr>
              <w:jc w:val="center"/>
            </w:pPr>
            <w:r>
              <w:rPr>
                <w:rFonts w:ascii="宋体" w:hAnsi="宋体" w:eastAsia="宋体"/>
                <w:sz w:val="16"/>
              </w:rPr>
              <w:t>喀什经济开发区管委会招商局</w:t>
            </w:r>
          </w:p>
        </w:tc>
      </w:tr>
      <w:tr w14:paraId="5333AF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28845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C062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3C43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3159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A4A8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17F9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AFDD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70A9B">
            <w:pPr>
              <w:jc w:val="center"/>
            </w:pPr>
            <w:r>
              <w:rPr>
                <w:rFonts w:ascii="宋体" w:hAnsi="宋体" w:eastAsia="宋体"/>
                <w:sz w:val="16"/>
              </w:rPr>
              <w:t>得分</w:t>
            </w:r>
          </w:p>
        </w:tc>
      </w:tr>
      <w:tr w14:paraId="319ABA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5D99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FE78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8644F">
            <w:pPr>
              <w:jc w:val="center"/>
            </w:pPr>
            <w:r>
              <w:rPr>
                <w:rFonts w:ascii="宋体" w:hAnsi="宋体" w:eastAsia="宋体"/>
                <w:sz w:val="16"/>
              </w:rPr>
              <w:t>42.00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4577F">
            <w:pPr>
              <w:jc w:val="center"/>
            </w:pPr>
            <w:r>
              <w:rPr>
                <w:rFonts w:ascii="宋体" w:hAnsi="宋体" w:eastAsia="宋体"/>
                <w:sz w:val="16"/>
              </w:rPr>
              <w:t>24.60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61513">
            <w:pPr>
              <w:jc w:val="center"/>
            </w:pPr>
            <w:r>
              <w:rPr>
                <w:rFonts w:ascii="宋体" w:hAnsi="宋体" w:eastAsia="宋体"/>
                <w:sz w:val="16"/>
              </w:rPr>
              <w:t>24.60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543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56F1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1EBF6">
            <w:pPr>
              <w:jc w:val="center"/>
            </w:pPr>
            <w:r>
              <w:rPr>
                <w:rFonts w:ascii="宋体" w:hAnsi="宋体" w:eastAsia="宋体"/>
                <w:sz w:val="16"/>
              </w:rPr>
              <w:t>10.00分</w:t>
            </w:r>
          </w:p>
        </w:tc>
      </w:tr>
      <w:tr w14:paraId="4523D9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851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34D5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754F0">
            <w:pPr>
              <w:jc w:val="center"/>
            </w:pPr>
            <w:r>
              <w:rPr>
                <w:rFonts w:ascii="宋体" w:hAnsi="宋体" w:eastAsia="宋体"/>
                <w:sz w:val="16"/>
              </w:rPr>
              <w:t>42.00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76097">
            <w:pPr>
              <w:jc w:val="center"/>
            </w:pPr>
            <w:r>
              <w:rPr>
                <w:rFonts w:ascii="宋体" w:hAnsi="宋体" w:eastAsia="宋体"/>
                <w:sz w:val="16"/>
              </w:rPr>
              <w:t>24.60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47F14">
            <w:pPr>
              <w:jc w:val="center"/>
            </w:pPr>
            <w:r>
              <w:rPr>
                <w:rFonts w:ascii="宋体" w:hAnsi="宋体" w:eastAsia="宋体"/>
                <w:sz w:val="16"/>
              </w:rPr>
              <w:t>24.60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F999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16F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E46C0">
            <w:pPr>
              <w:jc w:val="center"/>
            </w:pPr>
            <w:r>
              <w:rPr>
                <w:rFonts w:ascii="宋体" w:hAnsi="宋体" w:eastAsia="宋体"/>
                <w:sz w:val="16"/>
              </w:rPr>
              <w:t>—</w:t>
            </w:r>
          </w:p>
        </w:tc>
      </w:tr>
      <w:tr w14:paraId="34B166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148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FDA2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A94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0E1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BEFA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C972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A7D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FB8F0">
            <w:pPr>
              <w:jc w:val="center"/>
            </w:pPr>
            <w:r>
              <w:rPr>
                <w:rFonts w:ascii="宋体" w:hAnsi="宋体" w:eastAsia="宋体"/>
                <w:sz w:val="16"/>
              </w:rPr>
              <w:t>—</w:t>
            </w:r>
          </w:p>
        </w:tc>
      </w:tr>
      <w:tr w14:paraId="01F01F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4E623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34A54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1992E4">
            <w:pPr>
              <w:jc w:val="center"/>
            </w:pPr>
            <w:r>
              <w:rPr>
                <w:rFonts w:ascii="宋体" w:hAnsi="宋体" w:eastAsia="宋体"/>
                <w:sz w:val="16"/>
              </w:rPr>
              <w:t>实际完成情况</w:t>
            </w:r>
          </w:p>
        </w:tc>
      </w:tr>
      <w:tr w14:paraId="0F9A17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C3CB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6BCB3B">
            <w:pPr>
              <w:jc w:val="both"/>
            </w:pPr>
            <w:r>
              <w:rPr>
                <w:rFonts w:ascii="宋体" w:hAnsi="宋体" w:eastAsia="宋体"/>
                <w:sz w:val="16"/>
              </w:rPr>
              <w:t>本项目预算金24.6万元，用于委托第三方律师代理机构1家，欠款起诉，发挥资金在招商引资工作中的最大效益，提升资金使用安全、规范、有效</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CF76CB">
            <w:pPr>
              <w:jc w:val="both"/>
            </w:pPr>
            <w:r>
              <w:rPr>
                <w:rFonts w:ascii="宋体" w:hAnsi="宋体" w:eastAsia="宋体"/>
                <w:sz w:val="16"/>
              </w:rPr>
              <w:t>截止至2024年8月31日，委托律师代理及法律诉讼费项目24.6万元，已支出24.6万元，执行率100%，主要用于委托第三方律师代理机构1家，其业务委托成本24.6万元，从而提升了资金使用安全，受益企业满意度达到了100%。</w:t>
            </w:r>
          </w:p>
        </w:tc>
      </w:tr>
      <w:tr w14:paraId="38A3BC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C0DB5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5832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4D2E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8C0C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C2C3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1650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F685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C59A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2066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C20C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2FFD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42F0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3DDAA">
            <w:pPr>
              <w:jc w:val="center"/>
            </w:pPr>
            <w:r>
              <w:rPr>
                <w:rFonts w:ascii="宋体" w:hAnsi="宋体" w:eastAsia="宋体"/>
                <w:sz w:val="16"/>
              </w:rPr>
              <w:t>偏差原因分析及改进措施</w:t>
            </w:r>
          </w:p>
        </w:tc>
      </w:tr>
      <w:tr w14:paraId="29D10B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C0F27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BB551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DA7D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7205B">
            <w:pPr>
              <w:jc w:val="center"/>
            </w:pPr>
            <w:r>
              <w:rPr>
                <w:rFonts w:ascii="宋体" w:hAnsi="宋体" w:eastAsia="宋体"/>
                <w:sz w:val="16"/>
              </w:rPr>
              <w:t>委托第三方律师代理机构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71274">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6ED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493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30AE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788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95E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A679B">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61565">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1B4B0">
            <w:pPr>
              <w:jc w:val="center"/>
            </w:pPr>
          </w:p>
        </w:tc>
      </w:tr>
      <w:tr w14:paraId="01B931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239E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539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C10A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922D7">
            <w:pPr>
              <w:jc w:val="center"/>
            </w:pPr>
            <w:r>
              <w:rPr>
                <w:rFonts w:ascii="宋体" w:hAnsi="宋体" w:eastAsia="宋体"/>
                <w:sz w:val="16"/>
              </w:rPr>
              <w:t>项目招标流程合规率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05E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372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02A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C7FB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A6C2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CFB7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9A9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87A76">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D8A37">
            <w:pPr>
              <w:jc w:val="center"/>
            </w:pPr>
          </w:p>
        </w:tc>
      </w:tr>
      <w:tr w14:paraId="2D2789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74A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30C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C0AD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F27F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4E10F">
            <w:pPr>
              <w:jc w:val="center"/>
            </w:pPr>
            <w:r>
              <w:rPr>
                <w:rFonts w:ascii="宋体" w:hAnsi="宋体" w:eastAsia="宋体"/>
                <w:sz w:val="16"/>
              </w:rPr>
              <w:t>=</w:t>
            </w:r>
            <w:r>
              <w:rPr>
                <w:rFonts w:hint="eastAsia" w:ascii="宋体" w:hAnsi="宋体"/>
                <w:sz w:val="16"/>
                <w:lang w:eastAsia="zh-CN"/>
              </w:rPr>
              <w:t>2024年11月9日</w:t>
            </w:r>
            <w:r>
              <w:rPr>
                <w:rFonts w:ascii="宋体" w:hAnsi="宋体" w:eastAsia="宋体"/>
                <w:sz w:val="16"/>
              </w:rPr>
              <w:t>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153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A59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061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3B5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2E8C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4145A">
            <w:pPr>
              <w:jc w:val="center"/>
            </w:pPr>
            <w:r>
              <w:rPr>
                <w:rFonts w:ascii="宋体" w:hAnsi="宋体" w:eastAsia="宋体"/>
                <w:sz w:val="16"/>
              </w:rPr>
              <w:t>=</w:t>
            </w:r>
            <w:r>
              <w:rPr>
                <w:rFonts w:hint="eastAsia" w:ascii="宋体" w:hAnsi="宋体"/>
                <w:sz w:val="16"/>
                <w:lang w:eastAsia="zh-CN"/>
              </w:rPr>
              <w:t>2024年11月8日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C231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25EC4">
            <w:pPr>
              <w:jc w:val="center"/>
            </w:pPr>
          </w:p>
        </w:tc>
      </w:tr>
      <w:tr w14:paraId="04E988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DD2B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D0A2A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E9F1B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3EB8D">
            <w:pPr>
              <w:jc w:val="center"/>
            </w:pPr>
            <w:r>
              <w:rPr>
                <w:rFonts w:ascii="宋体" w:hAnsi="宋体" w:eastAsia="宋体"/>
                <w:sz w:val="16"/>
              </w:rPr>
              <w:t>业务委托成本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977F7">
            <w:pPr>
              <w:jc w:val="center"/>
            </w:pPr>
            <w:r>
              <w:rPr>
                <w:rFonts w:ascii="宋体" w:hAnsi="宋体" w:eastAsia="宋体"/>
                <w:sz w:val="16"/>
              </w:rPr>
              <w:t>&lt;=24.6万元/家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E71F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8A2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B45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40A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01E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F784B">
            <w:pPr>
              <w:jc w:val="center"/>
            </w:pPr>
            <w:r>
              <w:rPr>
                <w:rFonts w:ascii="宋体" w:hAnsi="宋体" w:eastAsia="宋体"/>
                <w:sz w:val="16"/>
              </w:rPr>
              <w:t>=24.6万元/家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2B7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69A91">
            <w:pPr>
              <w:jc w:val="center"/>
            </w:pPr>
          </w:p>
        </w:tc>
      </w:tr>
      <w:tr w14:paraId="71CAA2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26D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221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13E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8971A">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A216D">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B2B7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B65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3D0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64E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0A44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692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5EF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26921">
            <w:pPr>
              <w:jc w:val="center"/>
            </w:pPr>
          </w:p>
        </w:tc>
      </w:tr>
      <w:tr w14:paraId="5D9A19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B1AD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3186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D4EF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25B29">
            <w:pPr>
              <w:jc w:val="center"/>
            </w:pPr>
            <w:r>
              <w:rPr>
                <w:rFonts w:ascii="宋体" w:hAnsi="宋体" w:eastAsia="宋体"/>
                <w:sz w:val="16"/>
              </w:rPr>
              <w:t>提升资金使用安全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0149C">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68A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038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B0CC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0938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D90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EF529">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EBFB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AAF0D">
            <w:pPr>
              <w:jc w:val="center"/>
            </w:pPr>
          </w:p>
        </w:tc>
      </w:tr>
      <w:tr w14:paraId="270D18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1FCF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022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80D9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490DC">
            <w:pPr>
              <w:jc w:val="center"/>
            </w:pPr>
            <w:r>
              <w:rPr>
                <w:rFonts w:ascii="宋体" w:hAnsi="宋体" w:eastAsia="宋体"/>
                <w:sz w:val="16"/>
              </w:rPr>
              <w:t>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22C0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F87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705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9CF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F573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7E9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B95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B94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E720A">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41801EB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F8023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CC7B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35254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E11FF">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BDB24C1"/>
        </w:tc>
      </w:tr>
    </w:tbl>
    <w:p w14:paraId="231D1CE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7E298031">
        <w:tblPrEx>
          <w:tblCellMar>
            <w:top w:w="0" w:type="dxa"/>
            <w:left w:w="108" w:type="dxa"/>
            <w:bottom w:w="0" w:type="dxa"/>
            <w:right w:w="108" w:type="dxa"/>
          </w:tblCellMar>
        </w:tblPrEx>
        <w:tc>
          <w:tcPr>
            <w:tcW w:w="8848" w:type="dxa"/>
            <w:gridSpan w:val="14"/>
            <w:vAlign w:val="center"/>
          </w:tcPr>
          <w:p w14:paraId="010F471B">
            <w:pPr>
              <w:jc w:val="center"/>
            </w:pPr>
            <w:r>
              <w:rPr>
                <w:rFonts w:ascii="宋体" w:hAnsi="宋体" w:eastAsia="宋体"/>
                <w:sz w:val="24"/>
              </w:rPr>
              <w:t>项目支出绩效自评表</w:t>
            </w:r>
          </w:p>
        </w:tc>
      </w:tr>
      <w:tr w14:paraId="73E8A9DC">
        <w:tblPrEx>
          <w:tblCellMar>
            <w:top w:w="0" w:type="dxa"/>
            <w:left w:w="108" w:type="dxa"/>
            <w:bottom w:w="0" w:type="dxa"/>
            <w:right w:w="108" w:type="dxa"/>
          </w:tblCellMar>
        </w:tblPrEx>
        <w:tc>
          <w:tcPr>
            <w:tcW w:w="8848" w:type="dxa"/>
            <w:gridSpan w:val="14"/>
            <w:vAlign w:val="center"/>
          </w:tcPr>
          <w:p w14:paraId="6C41B676">
            <w:pPr>
              <w:jc w:val="center"/>
            </w:pPr>
            <w:r>
              <w:rPr>
                <w:rFonts w:ascii="宋体" w:hAnsi="宋体" w:eastAsia="宋体"/>
                <w:sz w:val="24"/>
              </w:rPr>
              <w:t>(2024年度)</w:t>
            </w:r>
          </w:p>
        </w:tc>
      </w:tr>
      <w:tr w14:paraId="5B4820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64D5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DC9476B">
            <w:pPr>
              <w:jc w:val="center"/>
            </w:pPr>
            <w:r>
              <w:rPr>
                <w:rFonts w:ascii="宋体" w:hAnsi="宋体" w:eastAsia="宋体"/>
                <w:sz w:val="16"/>
              </w:rPr>
              <w:t>引荐项目奖励项目</w:t>
            </w:r>
          </w:p>
        </w:tc>
      </w:tr>
      <w:tr w14:paraId="1A25BD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CFDE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1C065A">
            <w:pPr>
              <w:jc w:val="center"/>
            </w:pPr>
            <w:r>
              <w:rPr>
                <w:rFonts w:ascii="宋体" w:hAnsi="宋体" w:eastAsia="宋体"/>
                <w:sz w:val="16"/>
              </w:rPr>
              <w:t>喀什经济开发区管委会招商局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7F5B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90E5CF">
            <w:pPr>
              <w:jc w:val="center"/>
            </w:pPr>
            <w:r>
              <w:rPr>
                <w:rFonts w:ascii="宋体" w:hAnsi="宋体" w:eastAsia="宋体"/>
                <w:sz w:val="16"/>
              </w:rPr>
              <w:t>喀什经济开发区管委会招商局</w:t>
            </w:r>
          </w:p>
        </w:tc>
      </w:tr>
      <w:tr w14:paraId="07A815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B0757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3CA8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32E1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77DC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0DB8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6F22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D16F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A2A7F">
            <w:pPr>
              <w:jc w:val="center"/>
            </w:pPr>
            <w:r>
              <w:rPr>
                <w:rFonts w:ascii="宋体" w:hAnsi="宋体" w:eastAsia="宋体"/>
                <w:sz w:val="16"/>
              </w:rPr>
              <w:t>得分</w:t>
            </w:r>
          </w:p>
        </w:tc>
      </w:tr>
      <w:tr w14:paraId="3E8765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58B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2154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67204">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E3B7E">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11BE4">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D29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B3A0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03595">
            <w:pPr>
              <w:jc w:val="center"/>
            </w:pPr>
            <w:r>
              <w:rPr>
                <w:rFonts w:ascii="宋体" w:hAnsi="宋体" w:eastAsia="宋体"/>
                <w:sz w:val="16"/>
              </w:rPr>
              <w:t>10.00分</w:t>
            </w:r>
          </w:p>
        </w:tc>
      </w:tr>
      <w:tr w14:paraId="0D30C9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11B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571B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23065">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C5A87">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27EA9">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DAE4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9EF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616E1">
            <w:pPr>
              <w:jc w:val="center"/>
            </w:pPr>
            <w:r>
              <w:rPr>
                <w:rFonts w:ascii="宋体" w:hAnsi="宋体" w:eastAsia="宋体"/>
                <w:sz w:val="16"/>
              </w:rPr>
              <w:t>—</w:t>
            </w:r>
          </w:p>
        </w:tc>
      </w:tr>
      <w:tr w14:paraId="27E968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8B7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66F6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54F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09B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9C1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BE09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26C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6E4C4">
            <w:pPr>
              <w:jc w:val="center"/>
            </w:pPr>
            <w:r>
              <w:rPr>
                <w:rFonts w:ascii="宋体" w:hAnsi="宋体" w:eastAsia="宋体"/>
                <w:sz w:val="16"/>
              </w:rPr>
              <w:t>—</w:t>
            </w:r>
          </w:p>
        </w:tc>
      </w:tr>
      <w:tr w14:paraId="0570D8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F2E57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D6F81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A8E178">
            <w:pPr>
              <w:jc w:val="center"/>
            </w:pPr>
            <w:r>
              <w:rPr>
                <w:rFonts w:ascii="宋体" w:hAnsi="宋体" w:eastAsia="宋体"/>
                <w:sz w:val="16"/>
              </w:rPr>
              <w:t>实际完成情况</w:t>
            </w:r>
          </w:p>
        </w:tc>
      </w:tr>
      <w:tr w14:paraId="418F62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EC4B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EFA1D6">
            <w:pPr>
              <w:jc w:val="both"/>
            </w:pPr>
            <w:r>
              <w:rPr>
                <w:rFonts w:ascii="宋体" w:hAnsi="宋体" w:eastAsia="宋体"/>
                <w:sz w:val="16"/>
              </w:rPr>
              <w:t>项目预算安排资金40万元，用于奖励对象3人，从而调动社会各界的积极性和主动性，丰富招商形式，营造浓厚的全民招商氛围，提升招商引资工作水平，促进开发区经济高质量发展。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171A16">
            <w:pPr>
              <w:jc w:val="both"/>
            </w:pPr>
            <w:r>
              <w:rPr>
                <w:rFonts w:ascii="宋体" w:hAnsi="宋体" w:eastAsia="宋体"/>
                <w:sz w:val="16"/>
              </w:rPr>
              <w:t>截止至2024年12月31日，引荐项目奖励项目40万元，已支出40万元，执行率100%，用于奖励对象3人，支付项目奖励成本40万元，从而提升招商引资工作力度，奖励对象满意度达到了100%。</w:t>
            </w:r>
          </w:p>
        </w:tc>
      </w:tr>
      <w:tr w14:paraId="35CF80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190A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8725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F3B2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8EFF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53A8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F890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490E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CCF0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00ED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F53C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4FFF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EA1B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E51D5">
            <w:pPr>
              <w:jc w:val="center"/>
            </w:pPr>
            <w:r>
              <w:rPr>
                <w:rFonts w:ascii="宋体" w:hAnsi="宋体" w:eastAsia="宋体"/>
                <w:sz w:val="16"/>
              </w:rPr>
              <w:t>偏差原因分析及改进措施</w:t>
            </w:r>
          </w:p>
        </w:tc>
      </w:tr>
      <w:tr w14:paraId="2378D6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A1F6E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D2219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D163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F8AA7">
            <w:pPr>
              <w:jc w:val="center"/>
            </w:pPr>
            <w:r>
              <w:rPr>
                <w:rFonts w:ascii="宋体" w:hAnsi="宋体" w:eastAsia="宋体"/>
                <w:sz w:val="16"/>
              </w:rPr>
              <w:t>给予奖励对象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0C985">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19A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027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C38B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455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3FF7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E0389">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1242E">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08A0F">
            <w:pPr>
              <w:jc w:val="center"/>
            </w:pPr>
          </w:p>
        </w:tc>
      </w:tr>
      <w:tr w14:paraId="274129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53F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0F6A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5E5B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7835D">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2B8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F7E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B37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DD08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6520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EE71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46B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0215A">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695CF">
            <w:pPr>
              <w:jc w:val="center"/>
            </w:pPr>
          </w:p>
        </w:tc>
      </w:tr>
      <w:tr w14:paraId="3C7158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F7CD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A939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9003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F0A0C">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2FDF3">
            <w:pPr>
              <w:jc w:val="center"/>
            </w:pPr>
            <w:r>
              <w:rPr>
                <w:rFonts w:ascii="宋体" w:hAnsi="宋体" w:eastAsia="宋体"/>
                <w:sz w:val="16"/>
              </w:rPr>
              <w:t>=</w:t>
            </w:r>
            <w:r>
              <w:rPr>
                <w:rFonts w:hint="eastAsia" w:ascii="宋体" w:hAnsi="宋体"/>
                <w:sz w:val="16"/>
                <w:lang w:eastAsia="zh-CN"/>
              </w:rPr>
              <w:t>2024年11月2日</w:t>
            </w:r>
            <w:r>
              <w:rPr>
                <w:rFonts w:ascii="宋体" w:hAnsi="宋体" w:eastAsia="宋体"/>
                <w:sz w:val="16"/>
              </w:rPr>
              <w:t>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E83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CF9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73B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CD6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206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A7D30">
            <w:pPr>
              <w:jc w:val="center"/>
            </w:pPr>
            <w:r>
              <w:rPr>
                <w:rFonts w:ascii="宋体" w:hAnsi="宋体" w:eastAsia="宋体"/>
                <w:sz w:val="16"/>
              </w:rPr>
              <w:t>=</w:t>
            </w:r>
            <w:r>
              <w:rPr>
                <w:rFonts w:hint="eastAsia" w:ascii="宋体" w:hAnsi="宋体"/>
                <w:sz w:val="16"/>
                <w:lang w:eastAsia="zh-CN"/>
              </w:rPr>
              <w:t>2024年11月1日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B6B5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866EE">
            <w:pPr>
              <w:jc w:val="center"/>
            </w:pPr>
          </w:p>
        </w:tc>
      </w:tr>
      <w:tr w14:paraId="443E04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C227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46CCA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09630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DBB87">
            <w:pPr>
              <w:jc w:val="center"/>
            </w:pPr>
            <w:r>
              <w:rPr>
                <w:rFonts w:ascii="宋体" w:hAnsi="宋体" w:eastAsia="宋体"/>
                <w:sz w:val="16"/>
              </w:rPr>
              <w:t>项目奖励成本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D009B">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50E2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2D9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45D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E68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F298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2C421">
            <w:pPr>
              <w:jc w:val="center"/>
            </w:pPr>
            <w:r>
              <w:rPr>
                <w:rFonts w:ascii="宋体" w:hAnsi="宋体" w:eastAsia="宋体"/>
                <w:sz w:val="16"/>
              </w:rPr>
              <w: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B7A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7502D">
            <w:pPr>
              <w:jc w:val="center"/>
            </w:pPr>
          </w:p>
        </w:tc>
      </w:tr>
      <w:tr w14:paraId="532864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E1D0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3BE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726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527AE">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25547">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21C6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AF4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817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173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783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9B6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A97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4CC3D">
            <w:pPr>
              <w:jc w:val="center"/>
            </w:pPr>
          </w:p>
        </w:tc>
      </w:tr>
      <w:tr w14:paraId="0C6731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B23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0061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9708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D63B7">
            <w:pPr>
              <w:jc w:val="center"/>
            </w:pPr>
            <w:r>
              <w:rPr>
                <w:rFonts w:ascii="宋体" w:hAnsi="宋体" w:eastAsia="宋体"/>
                <w:sz w:val="16"/>
              </w:rPr>
              <w:t>提升招商引资工作力度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4930B">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849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BB4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CC05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55FC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B8E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7813B">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A9C4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CF6E7">
            <w:pPr>
              <w:jc w:val="center"/>
            </w:pPr>
          </w:p>
        </w:tc>
      </w:tr>
      <w:tr w14:paraId="62B52B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145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8C5A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B849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4679D">
            <w:pPr>
              <w:jc w:val="center"/>
            </w:pPr>
            <w:r>
              <w:rPr>
                <w:rFonts w:ascii="宋体" w:hAnsi="宋体" w:eastAsia="宋体"/>
                <w:sz w:val="16"/>
              </w:rPr>
              <w:t>奖励对象满意度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D6E6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EA6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D4E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03C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4347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47D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4C6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10F7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31017">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7AA78B1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6C759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9AD2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D1715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143C1">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11AA4A7"/>
        </w:tc>
      </w:tr>
    </w:tbl>
    <w:p w14:paraId="18B6B8F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32"/>
        <w:gridCol w:w="632"/>
      </w:tblGrid>
      <w:tr w14:paraId="16D1B08F">
        <w:tblPrEx>
          <w:tblCellMar>
            <w:top w:w="0" w:type="dxa"/>
            <w:left w:w="108" w:type="dxa"/>
            <w:bottom w:w="0" w:type="dxa"/>
            <w:right w:w="108" w:type="dxa"/>
          </w:tblCellMar>
        </w:tblPrEx>
        <w:tc>
          <w:tcPr>
            <w:tcW w:w="8848" w:type="dxa"/>
            <w:gridSpan w:val="14"/>
            <w:vAlign w:val="center"/>
          </w:tcPr>
          <w:p w14:paraId="7349BBB0">
            <w:pPr>
              <w:jc w:val="center"/>
            </w:pPr>
            <w:r>
              <w:rPr>
                <w:rFonts w:ascii="宋体" w:hAnsi="宋体" w:eastAsia="宋体"/>
                <w:sz w:val="24"/>
              </w:rPr>
              <w:t>项目支出绩效自评表</w:t>
            </w:r>
          </w:p>
        </w:tc>
      </w:tr>
      <w:tr w14:paraId="19F52361">
        <w:tblPrEx>
          <w:tblCellMar>
            <w:top w:w="0" w:type="dxa"/>
            <w:left w:w="108" w:type="dxa"/>
            <w:bottom w:w="0" w:type="dxa"/>
            <w:right w:w="108" w:type="dxa"/>
          </w:tblCellMar>
        </w:tblPrEx>
        <w:tc>
          <w:tcPr>
            <w:tcW w:w="8848" w:type="dxa"/>
            <w:gridSpan w:val="14"/>
            <w:vAlign w:val="center"/>
          </w:tcPr>
          <w:p w14:paraId="0E2C5D25">
            <w:pPr>
              <w:jc w:val="center"/>
            </w:pPr>
            <w:r>
              <w:rPr>
                <w:rFonts w:ascii="宋体" w:hAnsi="宋体" w:eastAsia="宋体"/>
                <w:sz w:val="24"/>
              </w:rPr>
              <w:t>(2024年度)</w:t>
            </w:r>
          </w:p>
        </w:tc>
      </w:tr>
      <w:tr w14:paraId="3F8B3B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4306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E106B2F">
            <w:pPr>
              <w:jc w:val="center"/>
            </w:pPr>
            <w:r>
              <w:rPr>
                <w:rFonts w:ascii="宋体" w:hAnsi="宋体" w:eastAsia="宋体"/>
                <w:sz w:val="16"/>
              </w:rPr>
              <w:t>招商引资工作项目</w:t>
            </w:r>
          </w:p>
        </w:tc>
      </w:tr>
      <w:tr w14:paraId="1538A1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E3DA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4B7F09">
            <w:pPr>
              <w:jc w:val="center"/>
            </w:pPr>
            <w:r>
              <w:rPr>
                <w:rFonts w:ascii="宋体" w:hAnsi="宋体" w:eastAsia="宋体"/>
                <w:sz w:val="16"/>
              </w:rPr>
              <w:t>喀什经济开发区管委会招商局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791C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53D2D1">
            <w:pPr>
              <w:jc w:val="center"/>
            </w:pPr>
            <w:r>
              <w:rPr>
                <w:rFonts w:ascii="宋体" w:hAnsi="宋体" w:eastAsia="宋体"/>
                <w:sz w:val="16"/>
              </w:rPr>
              <w:t>喀什经济开发区管委会招商局</w:t>
            </w:r>
          </w:p>
        </w:tc>
      </w:tr>
      <w:tr w14:paraId="0F51AD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FE181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52F4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B239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B91A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E53A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F878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8585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C0276">
            <w:pPr>
              <w:jc w:val="center"/>
            </w:pPr>
            <w:r>
              <w:rPr>
                <w:rFonts w:ascii="宋体" w:hAnsi="宋体" w:eastAsia="宋体"/>
                <w:sz w:val="16"/>
              </w:rPr>
              <w:t>得分</w:t>
            </w:r>
          </w:p>
        </w:tc>
      </w:tr>
      <w:tr w14:paraId="63A672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5C6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9992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AAEA2">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0F513">
            <w:pPr>
              <w:jc w:val="center"/>
            </w:pPr>
            <w:r>
              <w:rPr>
                <w:rFonts w:ascii="宋体" w:hAnsi="宋体" w:eastAsia="宋体"/>
                <w:sz w:val="16"/>
              </w:rPr>
              <w:t>109.00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1EC7C">
            <w:pPr>
              <w:jc w:val="center"/>
            </w:pPr>
            <w:r>
              <w:rPr>
                <w:rFonts w:ascii="宋体" w:hAnsi="宋体" w:eastAsia="宋体"/>
                <w:sz w:val="16"/>
              </w:rPr>
              <w:t>108.03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DA2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E8F3B">
            <w:pPr>
              <w:jc w:val="center"/>
            </w:pPr>
            <w:r>
              <w:rPr>
                <w:rFonts w:ascii="宋体" w:hAnsi="宋体" w:eastAsia="宋体"/>
                <w:sz w:val="16"/>
              </w:rPr>
              <w:t>99.1%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EE1F3">
            <w:pPr>
              <w:jc w:val="center"/>
            </w:pPr>
            <w:r>
              <w:rPr>
                <w:rFonts w:ascii="宋体" w:hAnsi="宋体" w:eastAsia="宋体"/>
                <w:sz w:val="16"/>
              </w:rPr>
              <w:t>9.78分</w:t>
            </w:r>
          </w:p>
        </w:tc>
      </w:tr>
      <w:tr w14:paraId="68AC76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EFF1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B6E8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D8B59">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FBCBB">
            <w:pPr>
              <w:jc w:val="center"/>
            </w:pPr>
            <w:r>
              <w:rPr>
                <w:rFonts w:ascii="宋体" w:hAnsi="宋体" w:eastAsia="宋体"/>
                <w:sz w:val="16"/>
              </w:rPr>
              <w:t>109.00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57E30">
            <w:pPr>
              <w:jc w:val="center"/>
            </w:pPr>
            <w:r>
              <w:rPr>
                <w:rFonts w:ascii="宋体" w:hAnsi="宋体" w:eastAsia="宋体"/>
                <w:sz w:val="16"/>
              </w:rPr>
              <w:t>108.03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ABFC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D53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61397">
            <w:pPr>
              <w:jc w:val="center"/>
            </w:pPr>
            <w:r>
              <w:rPr>
                <w:rFonts w:ascii="宋体" w:hAnsi="宋体" w:eastAsia="宋体"/>
                <w:sz w:val="16"/>
              </w:rPr>
              <w:t>—</w:t>
            </w:r>
          </w:p>
        </w:tc>
      </w:tr>
      <w:tr w14:paraId="407A75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D3B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1EA5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FC5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005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2730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678E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477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D6ED0">
            <w:pPr>
              <w:jc w:val="center"/>
            </w:pPr>
            <w:r>
              <w:rPr>
                <w:rFonts w:ascii="宋体" w:hAnsi="宋体" w:eastAsia="宋体"/>
                <w:sz w:val="16"/>
              </w:rPr>
              <w:t>—</w:t>
            </w:r>
          </w:p>
        </w:tc>
      </w:tr>
      <w:tr w14:paraId="7A73E21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234B4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3BEFC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467A70">
            <w:pPr>
              <w:jc w:val="center"/>
            </w:pPr>
            <w:r>
              <w:rPr>
                <w:rFonts w:ascii="宋体" w:hAnsi="宋体" w:eastAsia="宋体"/>
                <w:sz w:val="16"/>
              </w:rPr>
              <w:t>实际完成情况</w:t>
            </w:r>
          </w:p>
        </w:tc>
      </w:tr>
      <w:tr w14:paraId="3E3B3D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D9B4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5A5AAF">
            <w:pPr>
              <w:jc w:val="both"/>
            </w:pPr>
            <w:r>
              <w:rPr>
                <w:rFonts w:ascii="宋体" w:hAnsi="宋体" w:eastAsia="宋体"/>
                <w:sz w:val="16"/>
              </w:rPr>
              <w:t>项目预算安排资金109万元，其中：财政资金109万元，其他资金0万元，主要用于差旅费37.2万元，外出招商小分队，参加展会等。委托服务费56.8万元，其中：用于聘请招商业务法务顾问5万元，各类展会展位费，活动策划，特装展位委托51.8等等。以及其他服务类15万元。创新思路，做好招商引资项目储备开发；搞好外出招商、项目推介活动、促进项目签约；全方位展示喀什经济开发区政策、区位、资源、人文等有助于企业发</w:t>
            </w:r>
            <w:r>
              <w:rPr>
                <w:rFonts w:hint="eastAsia" w:ascii="宋体" w:hAnsi="宋体"/>
                <w:sz w:val="16"/>
                <w:lang w:eastAsia="zh-CN"/>
              </w:rPr>
              <w:t>展的</w:t>
            </w:r>
            <w:r>
              <w:rPr>
                <w:rFonts w:ascii="宋体" w:hAnsi="宋体" w:eastAsia="宋体"/>
                <w:sz w:val="16"/>
              </w:rPr>
              <w:t>优势条件，收集大量的意向企业资料信息，鼓励赴喀什实地调研考察，全力</w:t>
            </w:r>
            <w:r>
              <w:rPr>
                <w:rFonts w:hint="eastAsia" w:ascii="宋体" w:hAnsi="宋体"/>
                <w:sz w:val="16"/>
                <w:lang w:eastAsia="zh-CN"/>
              </w:rPr>
              <w:t>助推</w:t>
            </w:r>
            <w:r>
              <w:rPr>
                <w:rFonts w:ascii="宋体" w:hAnsi="宋体" w:eastAsia="宋体"/>
                <w:sz w:val="16"/>
              </w:rPr>
              <w:t>优质项目落地。</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FFB1BC">
            <w:pPr>
              <w:jc w:val="both"/>
            </w:pPr>
            <w:r>
              <w:rPr>
                <w:rFonts w:ascii="宋体" w:hAnsi="宋体" w:eastAsia="宋体"/>
                <w:sz w:val="16"/>
              </w:rPr>
              <w:t>截止至2024年12月31日，项目已完成108.03万元，其他资金0万元，主要用于外出招商次数12批次，支付招商差旅费36.23万元、其他费用71.8万元，从而助力了开发区高质量发展，赴喀企业满意度达到了100%。</w:t>
            </w:r>
            <w:r>
              <w:rPr>
                <w:rFonts w:ascii="宋体" w:hAnsi="宋体" w:eastAsia="宋体"/>
                <w:sz w:val="16"/>
              </w:rPr>
              <w:tab/>
            </w:r>
          </w:p>
        </w:tc>
      </w:tr>
      <w:tr w14:paraId="2A2914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C5D6D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A26B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990E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6690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59F3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56B8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03FA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74C6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AFA9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3AFD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7DBC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557B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856A0">
            <w:pPr>
              <w:jc w:val="center"/>
            </w:pPr>
            <w:r>
              <w:rPr>
                <w:rFonts w:ascii="宋体" w:hAnsi="宋体" w:eastAsia="宋体"/>
                <w:sz w:val="16"/>
              </w:rPr>
              <w:t>偏差原因分析及改进措施</w:t>
            </w:r>
          </w:p>
        </w:tc>
      </w:tr>
      <w:tr w14:paraId="73D269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1B26D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DA4F2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ED88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E5568">
            <w:pPr>
              <w:jc w:val="center"/>
            </w:pPr>
            <w:r>
              <w:rPr>
                <w:rFonts w:ascii="宋体" w:hAnsi="宋体" w:eastAsia="宋体"/>
                <w:sz w:val="16"/>
              </w:rPr>
              <w:t>外出招商次数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01B66">
            <w:pPr>
              <w:jc w:val="center"/>
            </w:pPr>
            <w:r>
              <w:rPr>
                <w:rFonts w:ascii="宋体" w:hAnsi="宋体" w:eastAsia="宋体"/>
                <w:sz w:val="16"/>
              </w:rPr>
              <w:t>&gt;=12批次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68E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8D7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81EF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D51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FA96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1D03F">
            <w:pPr>
              <w:jc w:val="center"/>
            </w:pPr>
            <w:r>
              <w:rPr>
                <w:rFonts w:ascii="宋体" w:hAnsi="宋体" w:eastAsia="宋体"/>
                <w:sz w:val="16"/>
              </w:rPr>
              <w:t>=12批次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E5E55">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EA9EF">
            <w:pPr>
              <w:jc w:val="center"/>
            </w:pPr>
          </w:p>
        </w:tc>
      </w:tr>
      <w:tr w14:paraId="1C201B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C1E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79D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2FC7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66502">
            <w:pPr>
              <w:jc w:val="center"/>
            </w:pPr>
            <w:r>
              <w:rPr>
                <w:rFonts w:ascii="宋体" w:hAnsi="宋体" w:eastAsia="宋体"/>
                <w:sz w:val="16"/>
              </w:rPr>
              <w:t>项目管理合格率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6DB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5B5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8A6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393A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2D53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154B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896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F18A3">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711E1">
            <w:pPr>
              <w:jc w:val="center"/>
            </w:pPr>
          </w:p>
        </w:tc>
      </w:tr>
      <w:tr w14:paraId="683FFB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89A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072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5978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2B73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6530B">
            <w:pPr>
              <w:jc w:val="center"/>
            </w:pPr>
            <w:r>
              <w:rPr>
                <w:rFonts w:ascii="宋体" w:hAnsi="宋体" w:eastAsia="宋体"/>
                <w:sz w:val="16"/>
              </w:rPr>
              <w:t>=2024年12月10日前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AB5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938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45C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4CE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1424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C2E1F">
            <w:pPr>
              <w:jc w:val="center"/>
            </w:pPr>
            <w:r>
              <w:rPr>
                <w:rFonts w:ascii="宋体" w:hAnsi="宋体" w:eastAsia="宋体"/>
                <w:sz w:val="16"/>
              </w:rPr>
              <w:t>=2024年12月23日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98A5E">
            <w:pPr>
              <w:jc w:val="center"/>
            </w:pPr>
            <w:r>
              <w:rPr>
                <w:rFonts w:ascii="宋体" w:hAnsi="宋体" w:eastAsia="宋体"/>
                <w:sz w:val="16"/>
              </w:rPr>
              <w:t>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FE042">
            <w:pPr>
              <w:jc w:val="center"/>
            </w:pPr>
            <w:r>
              <w:rPr>
                <w:rFonts w:ascii="宋体" w:hAnsi="宋体" w:eastAsia="宋体"/>
                <w:sz w:val="16"/>
              </w:rPr>
              <w:t>项目初期，对项目进度的预估存在偏差，项目进度低于初期预估，导致项目完成时间设置偏早。改进措施：深入分析，充分了解项目实时进度变化，更好地把握和预测项目完工时间。</w:t>
            </w:r>
          </w:p>
        </w:tc>
      </w:tr>
      <w:tr w14:paraId="41F2BD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2D31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3468D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10295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65404">
            <w:pPr>
              <w:jc w:val="center"/>
            </w:pPr>
            <w:r>
              <w:rPr>
                <w:rFonts w:ascii="宋体" w:hAnsi="宋体" w:eastAsia="宋体"/>
                <w:sz w:val="16"/>
              </w:rPr>
              <w:t>招商差旅费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2E9A3">
            <w:pPr>
              <w:jc w:val="center"/>
            </w:pPr>
            <w:r>
              <w:rPr>
                <w:rFonts w:ascii="宋体" w:hAnsi="宋体" w:eastAsia="宋体"/>
                <w:sz w:val="16"/>
              </w:rPr>
              <w:t>&lt;=37.2万元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94BE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089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C15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BFA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A4D0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5E7FD">
            <w:pPr>
              <w:jc w:val="center"/>
            </w:pPr>
            <w:r>
              <w:rPr>
                <w:rFonts w:ascii="宋体" w:hAnsi="宋体" w:eastAsia="宋体"/>
                <w:sz w:val="16"/>
              </w:rPr>
              <w:t>=36.23万元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3E265">
            <w:pPr>
              <w:jc w:val="center"/>
            </w:pPr>
            <w:r>
              <w:rPr>
                <w:rFonts w:ascii="宋体" w:hAnsi="宋体" w:eastAsia="宋体"/>
                <w:sz w:val="16"/>
              </w:rPr>
              <w:t>9.35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32889">
            <w:pPr>
              <w:jc w:val="center"/>
            </w:pPr>
            <w:r>
              <w:rPr>
                <w:rFonts w:ascii="宋体" w:hAnsi="宋体" w:eastAsia="宋体"/>
                <w:sz w:val="16"/>
              </w:rPr>
              <w:t>项目初期，对招商差旅费预期测算与实际支出情况存在偏差，导致预期值设置偏高。改进措施：深入分析，充分了解招商差旅费的实际支出情况，更好地把握和预测。</w:t>
            </w:r>
          </w:p>
        </w:tc>
      </w:tr>
      <w:tr w14:paraId="13AFA9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3FF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22B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3F3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F9920">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332EA">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0D23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D02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A98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443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56D0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ECB41">
            <w:pPr>
              <w:jc w:val="center"/>
            </w:pPr>
            <w:r>
              <w:rPr>
                <w:rFonts w:ascii="宋体" w:hAnsi="宋体" w:eastAsia="宋体"/>
                <w:sz w:val="16"/>
              </w:rPr>
              <w:t>=99.1%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FD9E0">
            <w:pPr>
              <w:jc w:val="center"/>
            </w:pPr>
            <w:r>
              <w:rPr>
                <w:rFonts w:ascii="宋体" w:hAnsi="宋体" w:eastAsia="宋体"/>
                <w:sz w:val="16"/>
              </w:rPr>
              <w:t>9.77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88A2C">
            <w:pPr>
              <w:jc w:val="center"/>
            </w:pPr>
            <w:r>
              <w:rPr>
                <w:rFonts w:ascii="宋体" w:hAnsi="宋体" w:eastAsia="宋体"/>
                <w:sz w:val="16"/>
              </w:rPr>
              <w:t>项目初期，对招商引资项目预期测算与实际支出情况存在偏差，导致预期值设置偏高。改进措施：深入分析，充分了解项目的实际支出情况，更好地把握和预测。</w:t>
            </w:r>
          </w:p>
        </w:tc>
      </w:tr>
      <w:tr w14:paraId="26F513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D43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578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F82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E93A8">
            <w:pPr>
              <w:jc w:val="center"/>
            </w:pPr>
            <w:r>
              <w:rPr>
                <w:rFonts w:ascii="宋体" w:hAnsi="宋体" w:eastAsia="宋体"/>
                <w:sz w:val="16"/>
              </w:rPr>
              <w:t>其他费用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2B8FF">
            <w:pPr>
              <w:jc w:val="center"/>
            </w:pPr>
            <w:r>
              <w:rPr>
                <w:rFonts w:ascii="宋体" w:hAnsi="宋体" w:eastAsia="宋体"/>
                <w:sz w:val="16"/>
              </w:rPr>
              <w:t>&lt;=71.8万元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2374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A25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8E06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41E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5B4F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4AC34">
            <w:pPr>
              <w:jc w:val="center"/>
            </w:pPr>
            <w:r>
              <w:rPr>
                <w:rFonts w:ascii="宋体" w:hAnsi="宋体" w:eastAsia="宋体"/>
                <w:sz w:val="16"/>
              </w:rPr>
              <w:t>=71.8万元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E045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45331">
            <w:pPr>
              <w:jc w:val="center"/>
            </w:pPr>
          </w:p>
        </w:tc>
      </w:tr>
      <w:tr w14:paraId="226AE1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8F6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F889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3BC5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1588B">
            <w:pPr>
              <w:jc w:val="center"/>
            </w:pPr>
            <w:r>
              <w:rPr>
                <w:rFonts w:ascii="宋体" w:hAnsi="宋体" w:eastAsia="宋体"/>
                <w:sz w:val="16"/>
              </w:rPr>
              <w:t>助力开发区高质量发展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E764C">
            <w:pPr>
              <w:jc w:val="center"/>
            </w:pPr>
            <w:r>
              <w:rPr>
                <w:rFonts w:ascii="宋体" w:hAnsi="宋体" w:eastAsia="宋体"/>
                <w:sz w:val="16"/>
              </w:rPr>
              <w:t>助力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491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334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6A26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5F4D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E56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4B352">
            <w:pPr>
              <w:jc w:val="center"/>
            </w:pPr>
            <w:r>
              <w:rPr>
                <w:rFonts w:ascii="宋体" w:hAnsi="宋体" w:eastAsia="宋体"/>
                <w:sz w:val="16"/>
              </w:rPr>
              <w:t>助力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5611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E6396">
            <w:pPr>
              <w:jc w:val="center"/>
            </w:pPr>
          </w:p>
        </w:tc>
      </w:tr>
      <w:tr w14:paraId="4F2475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11B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6C8E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ED9F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D855B">
            <w:pPr>
              <w:jc w:val="center"/>
            </w:pPr>
            <w:r>
              <w:rPr>
                <w:rFonts w:ascii="宋体" w:hAnsi="宋体" w:eastAsia="宋体"/>
                <w:sz w:val="16"/>
              </w:rPr>
              <w:t>赴喀企业满意度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E073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25C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A7E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398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5916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700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882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BD9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68CAF">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23B1AC9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57086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60F3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77EE6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1E4D6">
            <w:pPr>
              <w:jc w:val="center"/>
            </w:pPr>
            <w:r>
              <w:rPr>
                <w:rFonts w:ascii="宋体" w:hAnsi="宋体" w:eastAsia="宋体"/>
                <w:sz w:val="16"/>
              </w:rPr>
              <w:t>98.4分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229BB36"/>
        </w:tc>
      </w:tr>
    </w:tbl>
    <w:p w14:paraId="0DD97A5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01C9A2F6">
        <w:tc>
          <w:tcPr>
            <w:tcW w:w="8848" w:type="dxa"/>
            <w:gridSpan w:val="14"/>
            <w:vAlign w:val="center"/>
          </w:tcPr>
          <w:p w14:paraId="109A9270">
            <w:pPr>
              <w:jc w:val="center"/>
            </w:pPr>
            <w:r>
              <w:rPr>
                <w:rFonts w:ascii="宋体" w:hAnsi="宋体" w:eastAsia="宋体"/>
                <w:sz w:val="24"/>
              </w:rPr>
              <w:t>项目支出绩效自评表</w:t>
            </w:r>
          </w:p>
        </w:tc>
      </w:tr>
      <w:tr w14:paraId="48ABF376">
        <w:tblPrEx>
          <w:tblCellMar>
            <w:top w:w="0" w:type="dxa"/>
            <w:left w:w="108" w:type="dxa"/>
            <w:bottom w:w="0" w:type="dxa"/>
            <w:right w:w="108" w:type="dxa"/>
          </w:tblCellMar>
        </w:tblPrEx>
        <w:tc>
          <w:tcPr>
            <w:tcW w:w="8848" w:type="dxa"/>
            <w:gridSpan w:val="14"/>
            <w:vAlign w:val="center"/>
          </w:tcPr>
          <w:p w14:paraId="663C1F4F">
            <w:pPr>
              <w:jc w:val="center"/>
            </w:pPr>
            <w:r>
              <w:rPr>
                <w:rFonts w:ascii="宋体" w:hAnsi="宋体" w:eastAsia="宋体"/>
                <w:sz w:val="24"/>
              </w:rPr>
              <w:t>(2024年度)</w:t>
            </w:r>
          </w:p>
        </w:tc>
      </w:tr>
      <w:tr w14:paraId="191A3D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98BF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2E791CC">
            <w:pPr>
              <w:jc w:val="center"/>
            </w:pPr>
            <w:r>
              <w:rPr>
                <w:rFonts w:ascii="宋体" w:hAnsi="宋体" w:eastAsia="宋体"/>
                <w:sz w:val="16"/>
              </w:rPr>
              <w:t>招商引资重大项目论证咨询服务项目</w:t>
            </w:r>
          </w:p>
        </w:tc>
      </w:tr>
      <w:tr w14:paraId="088725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5A54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A2308B">
            <w:pPr>
              <w:jc w:val="center"/>
            </w:pPr>
            <w:r>
              <w:rPr>
                <w:rFonts w:ascii="宋体" w:hAnsi="宋体" w:eastAsia="宋体"/>
                <w:sz w:val="16"/>
              </w:rPr>
              <w:t>喀什经济开发区管委会招商局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48D2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680B41">
            <w:pPr>
              <w:jc w:val="center"/>
            </w:pPr>
            <w:r>
              <w:rPr>
                <w:rFonts w:ascii="宋体" w:hAnsi="宋体" w:eastAsia="宋体"/>
                <w:sz w:val="16"/>
              </w:rPr>
              <w:t>喀什经济开发区管委会招商局</w:t>
            </w:r>
          </w:p>
        </w:tc>
      </w:tr>
      <w:tr w14:paraId="68A40D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97DAA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5121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D9C1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D2D0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191A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634B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94EF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CA5BD">
            <w:pPr>
              <w:jc w:val="center"/>
            </w:pPr>
            <w:r>
              <w:rPr>
                <w:rFonts w:ascii="宋体" w:hAnsi="宋体" w:eastAsia="宋体"/>
                <w:sz w:val="16"/>
              </w:rPr>
              <w:t>得分</w:t>
            </w:r>
          </w:p>
        </w:tc>
      </w:tr>
      <w:tr w14:paraId="10F8D6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DA8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C6E0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02A24">
            <w:pPr>
              <w:jc w:val="center"/>
            </w:pPr>
            <w:r>
              <w:rPr>
                <w:rFonts w:ascii="宋体" w:hAnsi="宋体" w:eastAsia="宋体"/>
                <w:sz w:val="16"/>
              </w:rPr>
              <w:t>69.92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76415">
            <w:pPr>
              <w:jc w:val="center"/>
            </w:pPr>
            <w:r>
              <w:rPr>
                <w:rFonts w:ascii="宋体" w:hAnsi="宋体" w:eastAsia="宋体"/>
                <w:sz w:val="16"/>
              </w:rPr>
              <w:t>29.97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E0068">
            <w:pPr>
              <w:jc w:val="center"/>
            </w:pPr>
            <w:r>
              <w:rPr>
                <w:rFonts w:ascii="宋体" w:hAnsi="宋体" w:eastAsia="宋体"/>
                <w:sz w:val="16"/>
              </w:rPr>
              <w:t>29.97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789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6FC7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DA58D">
            <w:pPr>
              <w:jc w:val="center"/>
            </w:pPr>
            <w:r>
              <w:rPr>
                <w:rFonts w:ascii="宋体" w:hAnsi="宋体" w:eastAsia="宋体"/>
                <w:sz w:val="16"/>
              </w:rPr>
              <w:t>10.00分</w:t>
            </w:r>
          </w:p>
        </w:tc>
      </w:tr>
      <w:tr w14:paraId="26D1E3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EBC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652F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8860A">
            <w:pPr>
              <w:jc w:val="center"/>
            </w:pPr>
            <w:r>
              <w:rPr>
                <w:rFonts w:ascii="宋体" w:hAnsi="宋体" w:eastAsia="宋体"/>
                <w:sz w:val="16"/>
              </w:rPr>
              <w:t>69.92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E36F0">
            <w:pPr>
              <w:jc w:val="center"/>
            </w:pPr>
            <w:r>
              <w:rPr>
                <w:rFonts w:ascii="宋体" w:hAnsi="宋体" w:eastAsia="宋体"/>
                <w:sz w:val="16"/>
              </w:rPr>
              <w:t>29.97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54F0A">
            <w:pPr>
              <w:jc w:val="center"/>
            </w:pPr>
            <w:r>
              <w:rPr>
                <w:rFonts w:ascii="宋体" w:hAnsi="宋体" w:eastAsia="宋体"/>
                <w:sz w:val="16"/>
              </w:rPr>
              <w:t>29.97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7DA7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7F3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7DF0C">
            <w:pPr>
              <w:jc w:val="center"/>
            </w:pPr>
            <w:r>
              <w:rPr>
                <w:rFonts w:ascii="宋体" w:hAnsi="宋体" w:eastAsia="宋体"/>
                <w:sz w:val="16"/>
              </w:rPr>
              <w:t>—</w:t>
            </w:r>
          </w:p>
        </w:tc>
      </w:tr>
      <w:tr w14:paraId="4DC591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8B5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9266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3143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2FFE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94E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4B56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0C5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1FF31">
            <w:pPr>
              <w:jc w:val="center"/>
            </w:pPr>
            <w:r>
              <w:rPr>
                <w:rFonts w:ascii="宋体" w:hAnsi="宋体" w:eastAsia="宋体"/>
                <w:sz w:val="16"/>
              </w:rPr>
              <w:t>—</w:t>
            </w:r>
          </w:p>
        </w:tc>
      </w:tr>
      <w:tr w14:paraId="18ADE2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DF302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276B9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71BEAA">
            <w:pPr>
              <w:jc w:val="center"/>
            </w:pPr>
            <w:r>
              <w:rPr>
                <w:rFonts w:ascii="宋体" w:hAnsi="宋体" w:eastAsia="宋体"/>
                <w:sz w:val="16"/>
              </w:rPr>
              <w:t>实际完成情况</w:t>
            </w:r>
          </w:p>
        </w:tc>
      </w:tr>
      <w:tr w14:paraId="2CBC27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254E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58E6FC">
            <w:pPr>
              <w:jc w:val="both"/>
            </w:pPr>
            <w:r>
              <w:rPr>
                <w:rFonts w:ascii="宋体" w:hAnsi="宋体" w:eastAsia="宋体"/>
                <w:sz w:val="16"/>
              </w:rPr>
              <w:t>项目预算安排资金29.97万元，其中：财政资金29.97万元，其他资金0万元。用于支付合同进度款，该项目于2023年12月13日中标，中标合同金额29.97万元，2023年度已累计拨付合同进度款29.967万元，政府购买服务类：引进1一2家招商经验丰富、业绩突出的第三方专业平台，做好开发区“一体两翼”产业招大引强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2221F1">
            <w:pPr>
              <w:jc w:val="both"/>
            </w:pPr>
            <w:r>
              <w:rPr>
                <w:rFonts w:ascii="宋体" w:hAnsi="宋体" w:eastAsia="宋体"/>
                <w:sz w:val="16"/>
              </w:rPr>
              <w:t>截止至2024年12月31日，此项目全年预算金额29.97万元，全年完成29.97万元，执行率100%。用于支付1家合同进度款，支付委托业务成本29.97万元，项目招标合规率100%，从而提升了喀什经济开发区实体产业基础，入驻企业满意度达到了100%。</w:t>
            </w:r>
          </w:p>
        </w:tc>
      </w:tr>
      <w:tr w14:paraId="34A8D8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1E09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C3B8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BB05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7B27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D0DA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2C9E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D1E5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F251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B3E6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9749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62DF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03EB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44394">
            <w:pPr>
              <w:jc w:val="center"/>
            </w:pPr>
            <w:r>
              <w:rPr>
                <w:rFonts w:ascii="宋体" w:hAnsi="宋体" w:eastAsia="宋体"/>
                <w:sz w:val="16"/>
              </w:rPr>
              <w:t>偏差原因分析及改进措施</w:t>
            </w:r>
          </w:p>
        </w:tc>
      </w:tr>
      <w:tr w14:paraId="647166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474EE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EF139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127C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7B8E5">
            <w:pPr>
              <w:jc w:val="center"/>
            </w:pPr>
            <w:r>
              <w:rPr>
                <w:rFonts w:ascii="宋体" w:hAnsi="宋体" w:eastAsia="宋体"/>
                <w:sz w:val="16"/>
              </w:rPr>
              <w:t>支付合同数量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680BB">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264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0EE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CA19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15D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4443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0F70E">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13C20">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B265C">
            <w:pPr>
              <w:jc w:val="center"/>
            </w:pPr>
          </w:p>
        </w:tc>
      </w:tr>
      <w:tr w14:paraId="5B2347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AB5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DAA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1B1D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AB9A3">
            <w:pPr>
              <w:jc w:val="center"/>
            </w:pPr>
            <w:r>
              <w:rPr>
                <w:rFonts w:ascii="宋体" w:hAnsi="宋体" w:eastAsia="宋体"/>
                <w:sz w:val="16"/>
              </w:rPr>
              <w:t>项目招标合规率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C9F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057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D3B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8C9C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A392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5454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7D2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55428">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20FA8">
            <w:pPr>
              <w:jc w:val="center"/>
            </w:pPr>
          </w:p>
        </w:tc>
      </w:tr>
      <w:tr w14:paraId="3AD2F2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38D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262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BEFB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33920">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6A746">
            <w:pPr>
              <w:jc w:val="center"/>
            </w:pPr>
            <w:r>
              <w:rPr>
                <w:rFonts w:ascii="宋体" w:hAnsi="宋体" w:eastAsia="宋体"/>
                <w:sz w:val="16"/>
              </w:rPr>
              <w:t>=2024年12月11日前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3E2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EAF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E0C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DE9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D89A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D6771">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2F6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41E39">
            <w:pPr>
              <w:jc w:val="center"/>
            </w:pPr>
          </w:p>
        </w:tc>
      </w:tr>
      <w:tr w14:paraId="07E3F8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1325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506A8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A742F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D6620">
            <w:pPr>
              <w:jc w:val="center"/>
            </w:pPr>
            <w:r>
              <w:rPr>
                <w:rFonts w:ascii="宋体" w:hAnsi="宋体" w:eastAsia="宋体"/>
                <w:sz w:val="16"/>
              </w:rPr>
              <w:t>委托业务成本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D544C">
            <w:pPr>
              <w:jc w:val="center"/>
            </w:pPr>
            <w:r>
              <w:rPr>
                <w:rFonts w:ascii="宋体" w:hAnsi="宋体" w:eastAsia="宋体"/>
                <w:sz w:val="16"/>
              </w:rPr>
              <w:t>&lt;=29.97万元/家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DD0B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4FB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C97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97F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B87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28296">
            <w:pPr>
              <w:jc w:val="center"/>
            </w:pPr>
            <w:r>
              <w:rPr>
                <w:rFonts w:ascii="宋体" w:hAnsi="宋体" w:eastAsia="宋体"/>
                <w:sz w:val="16"/>
              </w:rPr>
              <w:t>=29.97万元/家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3C7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39F6B">
            <w:pPr>
              <w:jc w:val="center"/>
            </w:pPr>
          </w:p>
        </w:tc>
      </w:tr>
      <w:tr w14:paraId="57F4B6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6CE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A56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C08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3FBD6">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E00F8">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1F93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2EA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158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FC5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D1BA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CC5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4DC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9CB25">
            <w:pPr>
              <w:jc w:val="center"/>
            </w:pPr>
          </w:p>
        </w:tc>
      </w:tr>
      <w:tr w14:paraId="2EDEAE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2F5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D4A7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C85F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05F2E">
            <w:pPr>
              <w:jc w:val="center"/>
            </w:pPr>
            <w:r>
              <w:rPr>
                <w:rFonts w:ascii="宋体" w:hAnsi="宋体" w:eastAsia="宋体"/>
                <w:sz w:val="16"/>
              </w:rPr>
              <w:t>提升喀什经济开发区实体产业基础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E5038">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CFD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074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8C1F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A27E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4CC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7B71C">
            <w:pPr>
              <w:jc w:val="center"/>
            </w:pPr>
            <w:r>
              <w:rPr>
                <w:rFonts w:ascii="宋体" w:hAnsi="宋体" w:eastAsia="宋体"/>
                <w:sz w:val="16"/>
              </w:rPr>
              <w:t>提升</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B0D6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8C20D">
            <w:pPr>
              <w:jc w:val="center"/>
            </w:pPr>
          </w:p>
        </w:tc>
      </w:tr>
      <w:tr w14:paraId="3D08EC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1CB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AD12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84A1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C0A2F">
            <w:pPr>
              <w:jc w:val="center"/>
            </w:pPr>
            <w:r>
              <w:rPr>
                <w:rFonts w:ascii="宋体" w:hAnsi="宋体" w:eastAsia="宋体"/>
                <w:sz w:val="16"/>
              </w:rPr>
              <w:t>入驻企业满意度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D51E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366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069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8D1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CCC0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891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033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CAB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F9A93">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4AFF156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CFDE5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68BD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6C717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2B1B9">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EBAF9D7"/>
        </w:tc>
      </w:tr>
    </w:tbl>
    <w:p w14:paraId="391A0FE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4A84124C">
        <w:tblPrEx>
          <w:tblCellMar>
            <w:top w:w="0" w:type="dxa"/>
            <w:left w:w="108" w:type="dxa"/>
            <w:bottom w:w="0" w:type="dxa"/>
            <w:right w:w="108" w:type="dxa"/>
          </w:tblCellMar>
        </w:tblPrEx>
        <w:tc>
          <w:tcPr>
            <w:tcW w:w="8848" w:type="dxa"/>
            <w:gridSpan w:val="14"/>
            <w:vAlign w:val="center"/>
          </w:tcPr>
          <w:p w14:paraId="6DC53FAA">
            <w:pPr>
              <w:jc w:val="center"/>
            </w:pPr>
            <w:r>
              <w:rPr>
                <w:rFonts w:ascii="宋体" w:hAnsi="宋体" w:eastAsia="宋体"/>
                <w:sz w:val="24"/>
              </w:rPr>
              <w:t>项目支出绩效自评表</w:t>
            </w:r>
          </w:p>
        </w:tc>
      </w:tr>
      <w:tr w14:paraId="75118803">
        <w:tblPrEx>
          <w:tblCellMar>
            <w:top w:w="0" w:type="dxa"/>
            <w:left w:w="108" w:type="dxa"/>
            <w:bottom w:w="0" w:type="dxa"/>
            <w:right w:w="108" w:type="dxa"/>
          </w:tblCellMar>
        </w:tblPrEx>
        <w:tc>
          <w:tcPr>
            <w:tcW w:w="8848" w:type="dxa"/>
            <w:gridSpan w:val="14"/>
            <w:vAlign w:val="center"/>
          </w:tcPr>
          <w:p w14:paraId="35AE2267">
            <w:pPr>
              <w:jc w:val="center"/>
            </w:pPr>
            <w:r>
              <w:rPr>
                <w:rFonts w:ascii="宋体" w:hAnsi="宋体" w:eastAsia="宋体"/>
                <w:sz w:val="24"/>
              </w:rPr>
              <w:t>(2024年度)</w:t>
            </w:r>
          </w:p>
        </w:tc>
      </w:tr>
      <w:tr w14:paraId="7B14C2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8BFA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60050C0">
            <w:pPr>
              <w:jc w:val="center"/>
            </w:pPr>
            <w:r>
              <w:rPr>
                <w:rFonts w:ascii="宋体" w:hAnsi="宋体" w:eastAsia="宋体"/>
                <w:sz w:val="16"/>
              </w:rPr>
              <w:t>政务中心运营费项目</w:t>
            </w:r>
          </w:p>
        </w:tc>
      </w:tr>
      <w:tr w14:paraId="3BC7B2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7B91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D49C7F">
            <w:pPr>
              <w:jc w:val="center"/>
            </w:pPr>
            <w:r>
              <w:rPr>
                <w:rFonts w:ascii="宋体" w:hAnsi="宋体" w:eastAsia="宋体"/>
                <w:sz w:val="16"/>
              </w:rPr>
              <w:t>喀什经济开发区管委会招商局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D478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CDA540">
            <w:pPr>
              <w:jc w:val="center"/>
            </w:pPr>
            <w:r>
              <w:rPr>
                <w:rFonts w:ascii="宋体" w:hAnsi="宋体" w:eastAsia="宋体"/>
                <w:sz w:val="16"/>
              </w:rPr>
              <w:t>喀什经济开发区管委会招商局</w:t>
            </w:r>
          </w:p>
        </w:tc>
      </w:tr>
      <w:tr w14:paraId="783AB9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79D3B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BB9E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FD58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9DBB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E4CF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FC34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068E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E5E6C">
            <w:pPr>
              <w:jc w:val="center"/>
            </w:pPr>
            <w:r>
              <w:rPr>
                <w:rFonts w:ascii="宋体" w:hAnsi="宋体" w:eastAsia="宋体"/>
                <w:sz w:val="16"/>
              </w:rPr>
              <w:t>得分</w:t>
            </w:r>
          </w:p>
        </w:tc>
      </w:tr>
      <w:tr w14:paraId="35974F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096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55C0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C53E7">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EF2F5">
            <w:pPr>
              <w:jc w:val="center"/>
            </w:pPr>
            <w:r>
              <w:rPr>
                <w:rFonts w:ascii="宋体" w:hAnsi="宋体" w:eastAsia="宋体"/>
                <w:sz w:val="16"/>
              </w:rPr>
              <w:t>67.03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CF61B">
            <w:pPr>
              <w:jc w:val="center"/>
            </w:pPr>
            <w:r>
              <w:rPr>
                <w:rFonts w:ascii="宋体" w:hAnsi="宋体" w:eastAsia="宋体"/>
                <w:sz w:val="16"/>
              </w:rPr>
              <w:t>67.03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8D6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8FA5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B5F5E">
            <w:pPr>
              <w:jc w:val="center"/>
            </w:pPr>
            <w:r>
              <w:rPr>
                <w:rFonts w:ascii="宋体" w:hAnsi="宋体" w:eastAsia="宋体"/>
                <w:sz w:val="16"/>
              </w:rPr>
              <w:t>10.00分</w:t>
            </w:r>
          </w:p>
        </w:tc>
      </w:tr>
      <w:tr w14:paraId="4903B1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BC1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0B97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5BE21">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29A46">
            <w:pPr>
              <w:jc w:val="center"/>
            </w:pPr>
            <w:r>
              <w:rPr>
                <w:rFonts w:ascii="宋体" w:hAnsi="宋体" w:eastAsia="宋体"/>
                <w:sz w:val="16"/>
              </w:rPr>
              <w:t>67.03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C3915">
            <w:pPr>
              <w:jc w:val="center"/>
            </w:pPr>
            <w:r>
              <w:rPr>
                <w:rFonts w:ascii="宋体" w:hAnsi="宋体" w:eastAsia="宋体"/>
                <w:sz w:val="16"/>
              </w:rPr>
              <w:t>67.03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FE66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540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404A1">
            <w:pPr>
              <w:jc w:val="center"/>
            </w:pPr>
            <w:r>
              <w:rPr>
                <w:rFonts w:ascii="宋体" w:hAnsi="宋体" w:eastAsia="宋体"/>
                <w:sz w:val="16"/>
              </w:rPr>
              <w:t>—</w:t>
            </w:r>
          </w:p>
        </w:tc>
      </w:tr>
      <w:tr w14:paraId="56634E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253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0EF7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4E38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D083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844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09AB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D0A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BB95D">
            <w:pPr>
              <w:jc w:val="center"/>
            </w:pPr>
            <w:r>
              <w:rPr>
                <w:rFonts w:ascii="宋体" w:hAnsi="宋体" w:eastAsia="宋体"/>
                <w:sz w:val="16"/>
              </w:rPr>
              <w:t>—</w:t>
            </w:r>
          </w:p>
        </w:tc>
      </w:tr>
      <w:tr w14:paraId="2574BD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75D29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29534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079EC8">
            <w:pPr>
              <w:jc w:val="center"/>
            </w:pPr>
            <w:r>
              <w:rPr>
                <w:rFonts w:ascii="宋体" w:hAnsi="宋体" w:eastAsia="宋体"/>
                <w:sz w:val="16"/>
              </w:rPr>
              <w:t>实际完成情况</w:t>
            </w:r>
          </w:p>
        </w:tc>
      </w:tr>
      <w:tr w14:paraId="658953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D3E1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41BFB5">
            <w:pPr>
              <w:jc w:val="both"/>
            </w:pPr>
            <w:r>
              <w:rPr>
                <w:rFonts w:ascii="宋体" w:hAnsi="宋体" w:eastAsia="宋体"/>
                <w:sz w:val="16"/>
              </w:rPr>
              <w:t>本项目预算金额67.03万元，用于支付合同数量1家，从而解决喀什市城区范围内政务服务场所分散、企业和群众办事“多头跑”的问题，统筹利用地市现有场地资源，推进地区行政服务中心、市政务服务中心、经开区政务服务中心集中办公，提升为民办事工作力度，实现企业和群众必须到现场办理的事项“只进一扇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E85D7C">
            <w:pPr>
              <w:jc w:val="both"/>
            </w:pPr>
            <w:r>
              <w:rPr>
                <w:rFonts w:ascii="宋体" w:hAnsi="宋体" w:eastAsia="宋体"/>
                <w:sz w:val="16"/>
              </w:rPr>
              <w:t>截止至2024年12月31日，本项目全年预算金额67.03万元，实际完成67.03万元，执行率100%。用于支付合同数量1家，项目委托运营成本67.03万元，从而提升了为民办事工作力度，办事人员满意度达到了100%。</w:t>
            </w:r>
            <w:r>
              <w:rPr>
                <w:rFonts w:ascii="宋体" w:hAnsi="宋体" w:eastAsia="宋体"/>
                <w:sz w:val="16"/>
              </w:rPr>
              <w:tab/>
            </w:r>
          </w:p>
        </w:tc>
      </w:tr>
      <w:tr w14:paraId="381E88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CB502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A1B2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19CA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92C8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D57F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8D2D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9B10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8B71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52A9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32A6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F6E8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5867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4DED4">
            <w:pPr>
              <w:jc w:val="center"/>
            </w:pPr>
            <w:r>
              <w:rPr>
                <w:rFonts w:ascii="宋体" w:hAnsi="宋体" w:eastAsia="宋体"/>
                <w:sz w:val="16"/>
              </w:rPr>
              <w:t>偏差原因分析及改进措施</w:t>
            </w:r>
          </w:p>
        </w:tc>
      </w:tr>
      <w:tr w14:paraId="2B8A1A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8C316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D1545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DF50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AB79C">
            <w:pPr>
              <w:jc w:val="center"/>
            </w:pPr>
            <w:r>
              <w:rPr>
                <w:rFonts w:ascii="宋体" w:hAnsi="宋体" w:eastAsia="宋体"/>
                <w:sz w:val="16"/>
              </w:rPr>
              <w:t>支付合同数量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88892">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10C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EC2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6204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402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0AC6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601D2">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FE245">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C4BE8">
            <w:pPr>
              <w:jc w:val="center"/>
            </w:pPr>
          </w:p>
        </w:tc>
      </w:tr>
      <w:tr w14:paraId="55EEEA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B69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F623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041E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B977D">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897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E0B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796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1005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2459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CBCB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075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5B400">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18D82">
            <w:pPr>
              <w:jc w:val="center"/>
            </w:pPr>
          </w:p>
        </w:tc>
      </w:tr>
      <w:tr w14:paraId="184BFC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C81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1E5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12D3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C08D1">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009DD">
            <w:pPr>
              <w:jc w:val="center"/>
            </w:pPr>
            <w:r>
              <w:rPr>
                <w:rFonts w:ascii="宋体" w:hAnsi="宋体" w:eastAsia="宋体"/>
                <w:sz w:val="16"/>
              </w:rPr>
              <w:t>=</w:t>
            </w:r>
            <w:r>
              <w:rPr>
                <w:rFonts w:hint="eastAsia" w:ascii="宋体" w:hAnsi="宋体"/>
                <w:sz w:val="16"/>
                <w:lang w:eastAsia="zh-CN"/>
              </w:rPr>
              <w:t>2024年11月9日</w:t>
            </w:r>
            <w:r>
              <w:rPr>
                <w:rFonts w:ascii="宋体" w:hAnsi="宋体" w:eastAsia="宋体"/>
                <w:sz w:val="16"/>
              </w:rPr>
              <w:t>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FD3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405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3F8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E2F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8CDB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B505A">
            <w:pPr>
              <w:jc w:val="center"/>
            </w:pPr>
            <w:r>
              <w:rPr>
                <w:rFonts w:ascii="宋体" w:hAnsi="宋体" w:eastAsia="宋体"/>
                <w:sz w:val="16"/>
              </w:rPr>
              <w:t>=</w:t>
            </w:r>
            <w:r>
              <w:rPr>
                <w:rFonts w:hint="eastAsia" w:ascii="宋体" w:hAnsi="宋体"/>
                <w:sz w:val="16"/>
                <w:lang w:eastAsia="zh-CN"/>
              </w:rPr>
              <w:t>2024年8月19日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DF8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FA26F">
            <w:pPr>
              <w:jc w:val="center"/>
            </w:pPr>
          </w:p>
        </w:tc>
      </w:tr>
      <w:tr w14:paraId="353D69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5F11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6877E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E2FA1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5A3AD">
            <w:pPr>
              <w:jc w:val="center"/>
            </w:pPr>
            <w:r>
              <w:rPr>
                <w:rFonts w:ascii="宋体" w:hAnsi="宋体" w:eastAsia="宋体"/>
                <w:sz w:val="16"/>
              </w:rPr>
              <w:t>项目委托运营成本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FC7A1">
            <w:pPr>
              <w:jc w:val="center"/>
            </w:pPr>
            <w:r>
              <w:rPr>
                <w:rFonts w:ascii="宋体" w:hAnsi="宋体" w:eastAsia="宋体"/>
                <w:sz w:val="16"/>
              </w:rPr>
              <w:t>&lt;=67.03万元/家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21DC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6C5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D82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18A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DB3B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E48A2">
            <w:pPr>
              <w:jc w:val="center"/>
            </w:pPr>
            <w:r>
              <w:rPr>
                <w:rFonts w:ascii="宋体" w:hAnsi="宋体" w:eastAsia="宋体"/>
                <w:sz w:val="16"/>
              </w:rPr>
              <w:t>=67.03万元/家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8E5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98DD2">
            <w:pPr>
              <w:jc w:val="center"/>
            </w:pPr>
          </w:p>
        </w:tc>
      </w:tr>
      <w:tr w14:paraId="0B8D73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F42D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33A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584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D397C">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12ABE">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3445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160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960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CC6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7F34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39F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22B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D2C59">
            <w:pPr>
              <w:jc w:val="center"/>
            </w:pPr>
          </w:p>
        </w:tc>
      </w:tr>
      <w:tr w14:paraId="22B0FB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257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EB3D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04D6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01BCD">
            <w:pPr>
              <w:jc w:val="center"/>
            </w:pPr>
            <w:r>
              <w:rPr>
                <w:rFonts w:ascii="宋体" w:hAnsi="宋体" w:eastAsia="宋体"/>
                <w:sz w:val="16"/>
              </w:rPr>
              <w:t>提升为民办事工作力度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81801">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B44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A69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12CF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EEFE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FE1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232EF">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A82C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C272B">
            <w:pPr>
              <w:jc w:val="center"/>
            </w:pPr>
          </w:p>
        </w:tc>
      </w:tr>
      <w:tr w14:paraId="676726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8F2E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F2C0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F897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1A6DE">
            <w:pPr>
              <w:jc w:val="center"/>
            </w:pPr>
            <w:r>
              <w:rPr>
                <w:rFonts w:ascii="宋体" w:hAnsi="宋体" w:eastAsia="宋体"/>
                <w:sz w:val="16"/>
              </w:rPr>
              <w:t>办事人员满意度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0ACA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C91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53C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22D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291C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D20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3F3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4B4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BBB2A">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3708B40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20417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D307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59765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1F963">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5927342"/>
        </w:tc>
      </w:tr>
    </w:tbl>
    <w:p w14:paraId="5E039E72">
      <w:r>
        <w:br w:type="page"/>
      </w:r>
    </w:p>
    <w:p w14:paraId="5A1F2A5A">
      <w:pPr>
        <w:spacing w:line="640" w:lineRule="exact"/>
        <w:ind w:firstLine="640"/>
        <w:jc w:val="both"/>
        <w:outlineLvl w:val="2"/>
      </w:pPr>
      <w:r>
        <w:rPr>
          <w:rFonts w:ascii="黑体" w:hAnsi="黑体" w:eastAsia="黑体"/>
          <w:sz w:val="32"/>
        </w:rPr>
        <w:t>十二、其他需说明的事项</w:t>
      </w:r>
    </w:p>
    <w:p w14:paraId="4642F70B">
      <w:pPr>
        <w:spacing w:line="580" w:lineRule="exact"/>
        <w:ind w:firstLine="640"/>
        <w:jc w:val="both"/>
      </w:pPr>
      <w:r>
        <w:rPr>
          <w:rFonts w:ascii="仿宋_GB2312" w:hAnsi="仿宋_GB2312" w:eastAsia="仿宋_GB2312"/>
          <w:b w:val="0"/>
          <w:sz w:val="32"/>
        </w:rPr>
        <w:t>本单位无其他需说明的事项。</w:t>
      </w:r>
    </w:p>
    <w:p w14:paraId="145DD9C9">
      <w:r>
        <w:br w:type="page"/>
      </w:r>
    </w:p>
    <w:p w14:paraId="0ACF1EFE">
      <w:pPr>
        <w:spacing w:line="240" w:lineRule="auto"/>
        <w:jc w:val="center"/>
        <w:outlineLvl w:val="1"/>
      </w:pPr>
      <w:r>
        <w:rPr>
          <w:rFonts w:ascii="黑体" w:hAnsi="黑体" w:eastAsia="黑体"/>
          <w:sz w:val="32"/>
        </w:rPr>
        <w:t>第三部分 专业名词解释</w:t>
      </w:r>
    </w:p>
    <w:p w14:paraId="09894C5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8914C9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FE2A16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FE1507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28D7C6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B88502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544343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4F0983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F83AC6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C4EE37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45DF12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793083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CE4FAED">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71B8337">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9F51BA9">
      <w:r>
        <w:br w:type="page"/>
      </w:r>
    </w:p>
    <w:p w14:paraId="0B7E9C64">
      <w:pPr>
        <w:spacing w:line="240" w:lineRule="auto"/>
        <w:jc w:val="center"/>
        <w:outlineLvl w:val="1"/>
      </w:pPr>
      <w:r>
        <w:rPr>
          <w:rFonts w:ascii="黑体" w:hAnsi="黑体" w:eastAsia="黑体"/>
          <w:sz w:val="32"/>
        </w:rPr>
        <w:t>第四部分 部门决算报表（见附表）</w:t>
      </w:r>
    </w:p>
    <w:p w14:paraId="6EC85DCB">
      <w:pPr>
        <w:spacing w:line="240" w:lineRule="auto"/>
        <w:ind w:firstLine="640"/>
        <w:jc w:val="both"/>
      </w:pPr>
      <w:r>
        <w:rPr>
          <w:rFonts w:ascii="仿宋_GB2312" w:hAnsi="仿宋_GB2312" w:eastAsia="仿宋_GB2312"/>
          <w:b w:val="0"/>
          <w:sz w:val="32"/>
        </w:rPr>
        <w:t>一、《收入支出决算总表》</w:t>
      </w:r>
    </w:p>
    <w:p w14:paraId="4847A913">
      <w:pPr>
        <w:spacing w:line="240" w:lineRule="auto"/>
        <w:ind w:firstLine="640"/>
        <w:jc w:val="both"/>
      </w:pPr>
      <w:r>
        <w:rPr>
          <w:rFonts w:ascii="仿宋_GB2312" w:hAnsi="仿宋_GB2312" w:eastAsia="仿宋_GB2312"/>
          <w:b w:val="0"/>
          <w:sz w:val="32"/>
        </w:rPr>
        <w:t>二、《收入决算表》</w:t>
      </w:r>
    </w:p>
    <w:p w14:paraId="35A75E4B">
      <w:pPr>
        <w:spacing w:line="240" w:lineRule="auto"/>
        <w:ind w:firstLine="640"/>
        <w:jc w:val="both"/>
      </w:pPr>
      <w:r>
        <w:rPr>
          <w:rFonts w:ascii="仿宋_GB2312" w:hAnsi="仿宋_GB2312" w:eastAsia="仿宋_GB2312"/>
          <w:b w:val="0"/>
          <w:sz w:val="32"/>
        </w:rPr>
        <w:t>三、《支出决算表》</w:t>
      </w:r>
    </w:p>
    <w:p w14:paraId="29BBFB5E">
      <w:pPr>
        <w:spacing w:line="240" w:lineRule="auto"/>
        <w:ind w:firstLine="640"/>
        <w:jc w:val="both"/>
      </w:pPr>
      <w:r>
        <w:rPr>
          <w:rFonts w:ascii="仿宋_GB2312" w:hAnsi="仿宋_GB2312" w:eastAsia="仿宋_GB2312"/>
          <w:b w:val="0"/>
          <w:sz w:val="32"/>
        </w:rPr>
        <w:t>四、《财政拨款收入支出决算总表》</w:t>
      </w:r>
    </w:p>
    <w:p w14:paraId="6C43A253">
      <w:pPr>
        <w:spacing w:line="240" w:lineRule="auto"/>
        <w:ind w:firstLine="640"/>
        <w:jc w:val="both"/>
      </w:pPr>
      <w:r>
        <w:rPr>
          <w:rFonts w:ascii="仿宋_GB2312" w:hAnsi="仿宋_GB2312" w:eastAsia="仿宋_GB2312"/>
          <w:b w:val="0"/>
          <w:sz w:val="32"/>
        </w:rPr>
        <w:t>五、《一般公共预算财政拨款支出决算表》</w:t>
      </w:r>
    </w:p>
    <w:p w14:paraId="289E1B34">
      <w:pPr>
        <w:spacing w:line="240" w:lineRule="auto"/>
        <w:ind w:firstLine="640"/>
        <w:jc w:val="both"/>
      </w:pPr>
      <w:r>
        <w:rPr>
          <w:rFonts w:ascii="仿宋_GB2312" w:hAnsi="仿宋_GB2312" w:eastAsia="仿宋_GB2312"/>
          <w:b w:val="0"/>
          <w:sz w:val="32"/>
        </w:rPr>
        <w:t>六、《一般公共预算财政拨款基本支出决算表》</w:t>
      </w:r>
    </w:p>
    <w:p w14:paraId="1E526F1D">
      <w:pPr>
        <w:spacing w:line="240" w:lineRule="auto"/>
        <w:ind w:firstLine="640"/>
        <w:jc w:val="both"/>
      </w:pPr>
      <w:r>
        <w:rPr>
          <w:rFonts w:ascii="仿宋_GB2312" w:hAnsi="仿宋_GB2312" w:eastAsia="仿宋_GB2312"/>
          <w:b w:val="0"/>
          <w:sz w:val="32"/>
        </w:rPr>
        <w:t>七、《政府性基金预算财政拨款收入支出决算表》</w:t>
      </w:r>
    </w:p>
    <w:p w14:paraId="76EFDC7F">
      <w:pPr>
        <w:spacing w:line="240" w:lineRule="auto"/>
        <w:ind w:firstLine="640"/>
        <w:jc w:val="both"/>
      </w:pPr>
      <w:r>
        <w:rPr>
          <w:rFonts w:ascii="仿宋_GB2312" w:hAnsi="仿宋_GB2312" w:eastAsia="仿宋_GB2312"/>
          <w:b w:val="0"/>
          <w:sz w:val="32"/>
        </w:rPr>
        <w:t>八、《国有资本经营预算财政拨款收入支出决算表》</w:t>
      </w:r>
    </w:p>
    <w:p w14:paraId="4F79969E">
      <w:pPr>
        <w:spacing w:line="240" w:lineRule="auto"/>
        <w:ind w:firstLine="640"/>
        <w:jc w:val="both"/>
      </w:pPr>
      <w:r>
        <w:rPr>
          <w:rFonts w:ascii="仿宋_GB2312" w:hAnsi="仿宋_GB2312" w:eastAsia="仿宋_GB2312"/>
          <w:b w:val="0"/>
          <w:sz w:val="32"/>
        </w:rPr>
        <w:t>九、《财政拨款“三公”经费支出决算表》</w:t>
      </w:r>
    </w:p>
    <w:p w14:paraId="4B603BC1">
      <w:pPr>
        <w:spacing w:line="240" w:lineRule="auto"/>
        <w:ind w:firstLine="640"/>
        <w:jc w:val="both"/>
      </w:pPr>
    </w:p>
    <w:p w14:paraId="2F9C56FF">
      <w:pPr>
        <w:spacing w:line="240" w:lineRule="auto"/>
        <w:ind w:firstLine="640"/>
        <w:jc w:val="both"/>
      </w:pPr>
    </w:p>
    <w:p w14:paraId="42688FB7">
      <w:pPr>
        <w:spacing w:line="240" w:lineRule="auto"/>
        <w:ind w:firstLine="640"/>
        <w:jc w:val="both"/>
      </w:pPr>
    </w:p>
    <w:p w14:paraId="51CA682F">
      <w:pPr>
        <w:spacing w:line="240" w:lineRule="auto"/>
        <w:ind w:firstLine="640"/>
        <w:jc w:val="both"/>
      </w:pPr>
    </w:p>
    <w:p w14:paraId="6CBD131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E01D201-EEF5-4FAA-A240-A2E244DAADD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61762F39-2384-41C1-8D0D-76F32CA826AB}"/>
  </w:font>
  <w:font w:name="仿宋_GB2312">
    <w:panose1 w:val="02010609030101010101"/>
    <w:charset w:val="86"/>
    <w:family w:val="modern"/>
    <w:pitch w:val="default"/>
    <w:sig w:usb0="00000001" w:usb1="080E0000" w:usb2="00000000" w:usb3="00000000" w:csb0="00040000" w:csb1="00000000"/>
    <w:embedRegular r:id="rId3" w:fontKey="{1158EE91-D0DE-4EF5-8DA2-703E41B31336}"/>
  </w:font>
  <w:font w:name="楷体_GB2312">
    <w:panose1 w:val="02010609030101010101"/>
    <w:charset w:val="86"/>
    <w:family w:val="auto"/>
    <w:pitch w:val="default"/>
    <w:sig w:usb0="00000001" w:usb1="080E0000" w:usb2="00000000" w:usb3="00000000" w:csb0="00040000" w:csb1="00000000"/>
    <w:embedRegular r:id="rId4" w:fontKey="{BBFB5A57-8E30-412B-A303-AD5D7245197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14C1F21"/>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502A8B"/>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5245</Words>
  <Characters>5985</Characters>
  <Lines>0</Lines>
  <Paragraphs>0</Paragraphs>
  <TotalTime>5</TotalTime>
  <ScaleCrop>false</ScaleCrop>
  <LinksUpToDate>false</LinksUpToDate>
  <CharactersWithSpaces>5993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2025-09-12T10:46:21Z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B858A68E913346F885B5BC17D4DBEB06_13</vt:lpwstr>
  </property>
  <property fmtid="{D5CDD505-2E9C-101B-9397-08002B2CF9AE}" pid="4" name="KSOTemplateDocerSaveRecord">
    <vt:lpwstr>eyJoZGlkIjoiNjg0OWE4YjI3YjAxN2QwYzY1NGYyMjc5MDIwNzJhMTUiLCJ1c2VySWQiOiI0NDQ5NDYzNjEifQ==</vt:lpwstr>
  </property>
</Properties>
</file>