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line="570" w:lineRule="atLeast"/>
        <w:ind w:left="0" w:leftChars="0" w:right="0" w:firstLine="0" w:firstLineChars="0"/>
        <w:jc w:val="center"/>
        <w:textAlignment w:val="auto"/>
        <w:outlineLvl w:val="9"/>
        <w:rPr>
          <w:rFonts w:hint="eastAsia" w:ascii="方正小标宋_GBK" w:hAnsi="方正小标宋_GBK" w:eastAsia="方正小标宋_GBK" w:cs="方正小标宋_GBK"/>
          <w:b/>
          <w:bCs w:val="0"/>
          <w:sz w:val="40"/>
          <w:szCs w:val="40"/>
          <w:lang w:val="en-US" w:eastAsia="zh-CN"/>
        </w:rPr>
      </w:pPr>
      <w:bookmarkStart w:id="0" w:name="_Toc13016"/>
      <w:bookmarkStart w:id="1" w:name="_Toc30866"/>
      <w:bookmarkStart w:id="2" w:name="_Toc15282"/>
      <w:bookmarkStart w:id="3" w:name="_Toc10502"/>
      <w:r>
        <w:rPr>
          <w:rFonts w:hint="eastAsia" w:ascii="方正小标宋_GBK" w:hAnsi="方正小标宋_GBK" w:eastAsia="方正小标宋_GBK" w:cs="方正小标宋_GBK"/>
          <w:b/>
          <w:bCs w:val="0"/>
          <w:sz w:val="40"/>
          <w:szCs w:val="40"/>
          <w:lang w:val="en-US" w:eastAsia="zh-CN"/>
        </w:rPr>
        <w:t>城东金融贸易区市政维修安装、绿化养护项目</w:t>
      </w:r>
    </w:p>
    <w:p>
      <w:pPr>
        <w:keepNext w:val="0"/>
        <w:keepLines w:val="0"/>
        <w:pageBreakBefore w:val="0"/>
        <w:widowControl w:val="0"/>
        <w:kinsoku w:val="0"/>
        <w:wordWrap/>
        <w:overflowPunct w:val="0"/>
        <w:topLinePunct w:val="0"/>
        <w:autoSpaceDE w:val="0"/>
        <w:autoSpaceDN w:val="0"/>
        <w:bidi w:val="0"/>
        <w:adjustRightInd/>
        <w:snapToGrid/>
        <w:spacing w:line="570" w:lineRule="atLeast"/>
        <w:ind w:left="0" w:leftChars="0" w:right="0" w:firstLine="0" w:firstLineChars="0"/>
        <w:jc w:val="center"/>
        <w:textAlignment w:val="auto"/>
        <w:outlineLvl w:val="9"/>
        <w:rPr>
          <w:rFonts w:hint="eastAsia" w:ascii="方正小标宋_GBK" w:hAnsi="方正小标宋_GBK" w:eastAsia="方正小标宋_GBK" w:cs="方正小标宋_GBK"/>
          <w:b/>
          <w:bCs w:val="0"/>
          <w:sz w:val="40"/>
          <w:szCs w:val="40"/>
          <w:lang w:val="en-US" w:eastAsia="zh-CN"/>
        </w:rPr>
      </w:pPr>
      <w:r>
        <w:rPr>
          <w:rFonts w:hint="eastAsia" w:ascii="方正小标宋_GBK" w:hAnsi="方正小标宋_GBK" w:eastAsia="方正小标宋_GBK" w:cs="方正小标宋_GBK"/>
          <w:b/>
          <w:bCs w:val="0"/>
          <w:sz w:val="40"/>
          <w:szCs w:val="40"/>
          <w:lang w:val="en-US" w:eastAsia="zh-CN"/>
        </w:rPr>
        <w:t>绩效评价报告</w:t>
      </w:r>
      <w:bookmarkEnd w:id="0"/>
      <w:bookmarkEnd w:id="1"/>
      <w:bookmarkEnd w:id="2"/>
      <w:bookmarkEnd w:id="3"/>
    </w:p>
    <w:p>
      <w:pPr>
        <w:pStyle w:val="6"/>
        <w:ind w:firstLine="3213" w:firstLineChars="800"/>
        <w:rPr>
          <w:rFonts w:hint="eastAsia" w:ascii="方正小标宋_GBK" w:hAnsi="方正小标宋_GBK" w:eastAsia="方正小标宋_GBK" w:cs="方正小标宋_GBK"/>
          <w:b/>
          <w:bCs w:val="0"/>
          <w:sz w:val="40"/>
          <w:szCs w:val="40"/>
          <w:lang w:val="en-US" w:eastAsia="zh-CN"/>
        </w:rPr>
      </w:pPr>
    </w:p>
    <w:p>
      <w:pPr>
        <w:pStyle w:val="6"/>
        <w:ind w:firstLine="3213" w:firstLineChars="800"/>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b/>
          <w:bCs w:val="0"/>
          <w:sz w:val="40"/>
          <w:szCs w:val="40"/>
          <w:lang w:val="en-US" w:eastAsia="zh-CN"/>
        </w:rPr>
        <w:t>（</w:t>
      </w:r>
      <w:r>
        <w:rPr>
          <w:rFonts w:hint="default" w:ascii="Times New Roman" w:hAnsi="Times New Roman" w:eastAsia="方正小标宋_GBK" w:cs="Times New Roman"/>
          <w:b/>
          <w:bCs w:val="0"/>
          <w:sz w:val="40"/>
          <w:szCs w:val="40"/>
          <w:lang w:val="en-US" w:eastAsia="zh-CN"/>
        </w:rPr>
        <w:t>2022</w:t>
      </w:r>
      <w:r>
        <w:rPr>
          <w:rFonts w:hint="eastAsia" w:ascii="方正小标宋_GBK" w:hAnsi="方正小标宋_GBK" w:eastAsia="方正小标宋_GBK" w:cs="方正小标宋_GBK"/>
          <w:b/>
          <w:bCs w:val="0"/>
          <w:sz w:val="40"/>
          <w:szCs w:val="40"/>
          <w:lang w:val="en-US" w:eastAsia="zh-CN"/>
        </w:rPr>
        <w:t>年度）</w:t>
      </w: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atLeast"/>
        <w:ind w:right="0" w:firstLine="0" w:firstLineChars="0"/>
        <w:jc w:val="both"/>
        <w:textAlignment w:val="auto"/>
        <w:rPr>
          <w:rFonts w:hint="eastAsia" w:ascii="方正仿宋_GBK" w:hAnsi="方正仿宋_GBK" w:eastAsia="方正仿宋_GBK" w:cs="方正仿宋_GBK"/>
          <w:b/>
          <w:kern w:val="0"/>
          <w:sz w:val="32"/>
          <w:szCs w:val="32"/>
          <w:lang w:bidi="en-US"/>
        </w:rPr>
      </w:pPr>
    </w:p>
    <w:p>
      <w:pPr>
        <w:bidi w:val="0"/>
        <w:ind w:left="0" w:leftChars="0" w:firstLine="640" w:firstLineChars="200"/>
        <w:rPr>
          <w:rFonts w:hint="eastAsia"/>
          <w:lang w:val="en-US" w:eastAsia="zh-CN"/>
        </w:rPr>
      </w:pPr>
      <w:r>
        <w:rPr>
          <w:rFonts w:hint="eastAsia"/>
        </w:rPr>
        <w:t>项目名称：</w:t>
      </w:r>
      <w:r>
        <w:rPr>
          <w:rFonts w:hint="eastAsia"/>
          <w:lang w:val="en-US" w:eastAsia="zh-CN"/>
        </w:rPr>
        <w:t>城东金融贸易区市政维修安装、绿化养护项目</w:t>
      </w:r>
    </w:p>
    <w:p>
      <w:pPr>
        <w:bidi w:val="0"/>
        <w:rPr>
          <w:rFonts w:hint="eastAsia"/>
          <w:lang w:val="en-US" w:eastAsia="zh-CN"/>
        </w:rPr>
      </w:pPr>
      <w:r>
        <w:rPr>
          <w:rFonts w:hint="eastAsia"/>
          <w:lang w:val="en-US" w:eastAsia="zh-CN"/>
        </w:rPr>
        <w:t>项目单位：喀什经济开发区城东金融贸易发展服务中心</w:t>
      </w:r>
    </w:p>
    <w:p>
      <w:pPr>
        <w:bidi w:val="0"/>
        <w:rPr>
          <w:rFonts w:hint="eastAsia"/>
          <w:lang w:val="en-US" w:eastAsia="zh-CN"/>
        </w:rPr>
      </w:pPr>
      <w:r>
        <w:rPr>
          <w:rFonts w:hint="eastAsia"/>
          <w:lang w:val="en-US" w:eastAsia="zh-CN"/>
        </w:rPr>
        <w:t>主管部门：喀什经济开发区城东金融贸易发展服务中心</w:t>
      </w:r>
    </w:p>
    <w:p>
      <w:pPr>
        <w:bidi w:val="0"/>
        <w:rPr>
          <w:rFonts w:hint="eastAsia"/>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2629535</wp:posOffset>
            </wp:positionH>
            <wp:positionV relativeFrom="page">
              <wp:posOffset>6767830</wp:posOffset>
            </wp:positionV>
            <wp:extent cx="1438910" cy="1438910"/>
            <wp:effectExtent l="0" t="0" r="8890" b="8890"/>
            <wp:wrapNone/>
            <wp:docPr id="3" name="图片 3"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726133559"/>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r>
        <w:rPr>
          <w:rFonts w:hint="eastAsia"/>
        </w:rPr>
        <w:t>委托单位：</w:t>
      </w:r>
      <w:r>
        <w:rPr>
          <w:rFonts w:hint="eastAsia"/>
          <w:lang w:val="en-US" w:eastAsia="zh-CN"/>
        </w:rPr>
        <w:t>喀什经济开发区</w:t>
      </w:r>
      <w:r>
        <w:rPr>
          <w:rFonts w:hint="eastAsia"/>
        </w:rPr>
        <w:t>财政</w:t>
      </w:r>
      <w:r>
        <w:rPr>
          <w:rFonts w:hint="eastAsia"/>
          <w:lang w:val="en-US" w:eastAsia="zh-CN"/>
        </w:rPr>
        <w:t>金融</w:t>
      </w:r>
      <w:r>
        <w:rPr>
          <w:rFonts w:hint="eastAsia"/>
        </w:rPr>
        <w:t>局</w:t>
      </w:r>
    </w:p>
    <w:p>
      <w:pPr>
        <w:bidi w:val="0"/>
        <w:rPr>
          <w:rFonts w:hint="eastAsia"/>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1406525</wp:posOffset>
            </wp:positionH>
            <wp:positionV relativeFrom="page">
              <wp:posOffset>7086600</wp:posOffset>
            </wp:positionV>
            <wp:extent cx="760095" cy="603250"/>
            <wp:effectExtent l="0" t="0" r="0" b="0"/>
            <wp:wrapNone/>
            <wp:docPr id="4" name="图片 4" descr="未标题-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标题-5"/>
                    <pic:cNvPicPr>
                      <a:picLocks noChangeAspect="1"/>
                    </pic:cNvPicPr>
                  </pic:nvPicPr>
                  <pic:blipFill>
                    <a:blip r:embed="rId11"/>
                    <a:stretch>
                      <a:fillRect/>
                    </a:stretch>
                  </pic:blipFill>
                  <pic:spPr>
                    <a:xfrm>
                      <a:off x="0" y="0"/>
                      <a:ext cx="760095" cy="603250"/>
                    </a:xfrm>
                    <a:prstGeom prst="rect">
                      <a:avLst/>
                    </a:prstGeom>
                  </pic:spPr>
                </pic:pic>
              </a:graphicData>
            </a:graphic>
          </wp:anchor>
        </w:drawing>
      </w:r>
      <w:r>
        <w:rPr>
          <w:rFonts w:hint="eastAsia"/>
        </w:rPr>
        <w:t>评价机构：新疆鸿晟达信息咨询有限公司</w:t>
      </w:r>
    </w:p>
    <w:p>
      <w:pPr>
        <w:bidi w:val="0"/>
        <w:rPr>
          <w:rFonts w:hint="eastAsia"/>
          <w:lang w:eastAsia="zh-CN"/>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1398905</wp:posOffset>
            </wp:positionH>
            <wp:positionV relativeFrom="paragraph">
              <wp:posOffset>295910</wp:posOffset>
            </wp:positionV>
            <wp:extent cx="719455" cy="520700"/>
            <wp:effectExtent l="0" t="0" r="4445" b="12700"/>
            <wp:wrapNone/>
            <wp:docPr id="6" name="图片 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未标题-1"/>
                    <pic:cNvPicPr>
                      <a:picLocks noChangeAspect="1"/>
                    </pic:cNvPicPr>
                  </pic:nvPicPr>
                  <pic:blipFill>
                    <a:blip r:embed="rId12"/>
                    <a:stretch>
                      <a:fillRect/>
                    </a:stretch>
                  </pic:blipFill>
                  <pic:spPr>
                    <a:xfrm>
                      <a:off x="0" y="0"/>
                      <a:ext cx="719455" cy="520700"/>
                    </a:xfrm>
                    <a:prstGeom prst="rect">
                      <a:avLst/>
                    </a:prstGeom>
                  </pic:spPr>
                </pic:pic>
              </a:graphicData>
            </a:graphic>
          </wp:anchor>
        </w:drawing>
      </w:r>
      <w:r>
        <w:rPr>
          <w:rFonts w:hint="eastAsia"/>
        </w:rPr>
        <w:t>主</w:t>
      </w:r>
      <w:r>
        <w:rPr>
          <w:rFonts w:hint="eastAsia"/>
          <w:lang w:val="en-US" w:eastAsia="zh-CN"/>
        </w:rPr>
        <w:t xml:space="preserve"> </w:t>
      </w:r>
      <w:r>
        <w:rPr>
          <w:rFonts w:hint="eastAsia"/>
        </w:rPr>
        <w:t>评</w:t>
      </w:r>
      <w:r>
        <w:rPr>
          <w:rFonts w:hint="eastAsia"/>
          <w:lang w:val="en-US" w:eastAsia="zh-CN"/>
        </w:rPr>
        <w:t xml:space="preserve"> </w:t>
      </w:r>
      <w:r>
        <w:rPr>
          <w:rFonts w:hint="eastAsia"/>
        </w:rPr>
        <w:t>人：</w:t>
      </w:r>
    </w:p>
    <w:p>
      <w:pPr>
        <w:bidi w:val="0"/>
        <w:rPr>
          <w:rFonts w:hint="eastAsia"/>
          <w:lang w:val="en-US" w:eastAsia="zh-CN"/>
        </w:rPr>
      </w:pPr>
      <w:r>
        <w:rPr>
          <w:rFonts w:hint="eastAsia"/>
          <w:lang w:val="en-US" w:eastAsia="zh-CN"/>
        </w:rPr>
        <w:t>复 审 人：</w:t>
      </w:r>
    </w:p>
    <w:p>
      <w:pPr>
        <w:rPr>
          <w:rFonts w:hint="eastAsia"/>
          <w:lang w:val="en-US" w:eastAsia="zh-CN"/>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1401445</wp:posOffset>
            </wp:positionH>
            <wp:positionV relativeFrom="page">
              <wp:posOffset>7914005</wp:posOffset>
            </wp:positionV>
            <wp:extent cx="953770" cy="353060"/>
            <wp:effectExtent l="0" t="0" r="17780" b="8255"/>
            <wp:wrapNone/>
            <wp:docPr id="5" name="图片 5" desc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z1"/>
                    <pic:cNvPicPr>
                      <a:picLocks noChangeAspect="1"/>
                    </pic:cNvPicPr>
                  </pic:nvPicPr>
                  <pic:blipFill>
                    <a:blip r:embed="rId13"/>
                    <a:stretch>
                      <a:fillRect/>
                    </a:stretch>
                  </pic:blipFill>
                  <pic:spPr>
                    <a:xfrm>
                      <a:off x="0" y="0"/>
                      <a:ext cx="953770" cy="353060"/>
                    </a:xfrm>
                    <a:prstGeom prst="rect">
                      <a:avLst/>
                    </a:prstGeom>
                  </pic:spPr>
                </pic:pic>
              </a:graphicData>
            </a:graphic>
          </wp:anchor>
        </w:drawing>
      </w:r>
      <w:r>
        <w:rPr>
          <w:rFonts w:hint="eastAsia"/>
          <w:lang w:val="en-US" w:eastAsia="zh-CN"/>
        </w:rPr>
        <w:t>终 审 人：</w:t>
      </w:r>
    </w:p>
    <w:p>
      <w:pPr>
        <w:rPr>
          <w:rFonts w:hint="eastAsia"/>
          <w:lang w:val="en-US" w:eastAsia="zh-CN"/>
        </w:rPr>
      </w:pPr>
    </w:p>
    <w:p>
      <w:pPr>
        <w:bidi w:val="0"/>
        <w:ind w:left="0" w:leftChars="0" w:firstLine="0" w:firstLineChars="0"/>
        <w:jc w:val="center"/>
        <w:rPr>
          <w:rFonts w:hint="eastAsia" w:ascii="方正仿宋_GBK" w:hAnsi="方正仿宋_GBK" w:eastAsia="方正仿宋_GBK" w:cs="方正仿宋_GBK"/>
          <w:lang w:val="en-US" w:eastAsia="zh-CN"/>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3520" w:firstLineChars="1100"/>
        <w:jc w:val="both"/>
        <w:textAlignment w:val="auto"/>
        <w:rPr>
          <w:rFonts w:hint="eastAsia" w:ascii="方正仿宋_GBK" w:hAnsi="方正仿宋_GBK" w:eastAsia="方正仿宋_GBK" w:cs="方正仿宋_GBK"/>
          <w:b/>
          <w:bCs w:val="0"/>
          <w:sz w:val="32"/>
          <w:szCs w:val="32"/>
        </w:rPr>
        <w:sectPr>
          <w:headerReference r:id="rId3" w:type="default"/>
          <w:pgSz w:w="11906" w:h="16838"/>
          <w:pgMar w:top="1984" w:right="1531" w:bottom="1701" w:left="1531" w:header="851" w:footer="992" w:gutter="0"/>
          <w:pgNumType w:fmt="decimal" w:start="1"/>
          <w:cols w:space="0" w:num="1"/>
          <w:rtlGutter w:val="0"/>
          <w:docGrid w:type="lines" w:linePitch="438" w:charSpace="0"/>
        </w:sectPr>
      </w:pPr>
      <w:r>
        <w:rPr>
          <w:rFonts w:hint="eastAsia" w:cs="方正仿宋_GBK"/>
          <w:kern w:val="0"/>
          <w:sz w:val="32"/>
          <w:szCs w:val="32"/>
          <w:lang w:val="en-US" w:eastAsia="zh-CN" w:bidi="en-US"/>
        </w:rPr>
        <w:t>二</w:t>
      </w:r>
      <w:r>
        <w:rPr>
          <w:rFonts w:hint="default" w:ascii="Times New Roman" w:hAnsi="Times New Roman" w:eastAsia="方正仿宋_GBK" w:cs="Times New Roman"/>
          <w:kern w:val="0"/>
          <w:sz w:val="32"/>
          <w:szCs w:val="32"/>
        </w:rPr>
        <w:t>0</w:t>
      </w:r>
      <w:r>
        <w:rPr>
          <w:rFonts w:hint="eastAsia" w:cs="方正仿宋_GBK"/>
          <w:kern w:val="0"/>
          <w:sz w:val="32"/>
          <w:szCs w:val="32"/>
          <w:lang w:val="en-US" w:eastAsia="zh-CN" w:bidi="en-US"/>
        </w:rPr>
        <w:t>二三年七月</w:t>
      </w:r>
    </w:p>
    <w:p>
      <w:pPr>
        <w:keepNext w:val="0"/>
        <w:keepLines w:val="0"/>
        <w:pageBreakBefore w:val="0"/>
        <w:widowControl w:val="0"/>
        <w:kinsoku w:val="0"/>
        <w:wordWrap/>
        <w:overflowPunct w:val="0"/>
        <w:topLinePunct w:val="0"/>
        <w:autoSpaceDE w:val="0"/>
        <w:autoSpaceDN w:val="0"/>
        <w:bidi w:val="0"/>
        <w:adjustRightInd/>
        <w:snapToGrid/>
        <w:spacing w:line="570" w:lineRule="atLeast"/>
        <w:ind w:left="0" w:leftChars="0" w:right="0" w:firstLine="0" w:firstLineChars="0"/>
        <w:jc w:val="center"/>
        <w:textAlignment w:val="auto"/>
        <w:outlineLvl w:val="9"/>
        <w:rPr>
          <w:rFonts w:hint="eastAsia" w:ascii="Times New Roman" w:hAnsi="Times New Roman" w:eastAsia="方正仿宋_GBK" w:cs="方正仿宋_GBK"/>
          <w:b/>
          <w:bCs w:val="0"/>
          <w:sz w:val="40"/>
          <w:szCs w:val="40"/>
        </w:rPr>
      </w:pPr>
      <w:r>
        <w:rPr>
          <w:rFonts w:hint="eastAsia" w:ascii="Times New Roman" w:hAnsi="Times New Roman" w:eastAsia="方正仿宋_GBK" w:cs="方正仿宋_GBK"/>
          <w:b/>
          <w:bCs w:val="0"/>
          <w:sz w:val="40"/>
          <w:szCs w:val="40"/>
        </w:rPr>
        <w:t>报告摘要</w:t>
      </w:r>
    </w:p>
    <w:p>
      <w:pPr>
        <w:pageBreakBefore w:val="0"/>
        <w:widowControl w:val="0"/>
        <w:wordWrap/>
        <w:topLinePunct w:val="0"/>
        <w:bidi w:val="0"/>
        <w:adjustRightInd/>
        <w:snapToGrid/>
        <w:spacing w:line="560" w:lineRule="exact"/>
        <w:ind w:left="0" w:leftChars="0" w:firstLine="640" w:firstLineChars="200"/>
        <w:textAlignment w:val="auto"/>
        <w:rPr>
          <w:rFonts w:hint="eastAsia" w:ascii="Times New Roman" w:hAnsi="Times New Roman" w:eastAsia="方正仿宋_GBK" w:cs="方正仿宋_GBK"/>
        </w:rPr>
      </w:pPr>
      <w:r>
        <w:rPr>
          <w:rFonts w:hint="eastAsia" w:ascii="Times New Roman" w:hAnsi="Times New Roman" w:eastAsia="方正仿宋_GBK" w:cs="方正仿宋_GBK"/>
          <w:lang w:eastAsia="zh-CN"/>
        </w:rPr>
        <w:t>应</w:t>
      </w:r>
      <w:r>
        <w:rPr>
          <w:rFonts w:hint="eastAsia" w:ascii="Times New Roman" w:hAnsi="Times New Roman" w:eastAsia="方正仿宋_GBK" w:cs="方正仿宋_GBK"/>
          <w:lang w:val="en-US" w:eastAsia="zh-CN"/>
        </w:rPr>
        <w:t>喀什经济开发区财政金融局委托，新疆鸿晟达信息咨询有限公司</w:t>
      </w:r>
      <w:r>
        <w:rPr>
          <w:rFonts w:hint="eastAsia" w:ascii="Times New Roman" w:hAnsi="Times New Roman"/>
          <w:lang w:eastAsia="zh-CN"/>
        </w:rPr>
        <w:t>（</w:t>
      </w:r>
      <w:r>
        <w:rPr>
          <w:rFonts w:hint="eastAsia" w:ascii="Times New Roman" w:hAnsi="Times New Roman"/>
          <w:lang w:val="en-US" w:eastAsia="zh-CN"/>
        </w:rPr>
        <w:t>以下简称：“我公司”</w:t>
      </w:r>
      <w:r>
        <w:rPr>
          <w:rFonts w:hint="eastAsia" w:ascii="Times New Roman" w:hAnsi="Times New Roman"/>
          <w:lang w:eastAsia="zh-CN"/>
        </w:rPr>
        <w:t>）</w:t>
      </w:r>
      <w:r>
        <w:rPr>
          <w:rFonts w:hint="eastAsia" w:ascii="Times New Roman" w:hAnsi="Times New Roman" w:eastAsia="方正仿宋_GBK" w:cs="方正仿宋_GBK"/>
          <w:lang w:val="en-US" w:eastAsia="zh-CN"/>
        </w:rPr>
        <w:t>对2022年喀什经济开发区城东金融贸易发展服务中心</w:t>
      </w:r>
      <w:r>
        <w:rPr>
          <w:rFonts w:hint="eastAsia" w:ascii="Times New Roman" w:hAnsi="Times New Roman" w:eastAsia="方正仿宋_GBK" w:cs="方正仿宋_GBK"/>
        </w:rPr>
        <w:t>实施的</w:t>
      </w:r>
      <w:r>
        <w:rPr>
          <w:rFonts w:hint="eastAsia" w:ascii="Times New Roman" w:hAnsi="Times New Roman" w:eastAsia="方正仿宋_GBK" w:cs="方正仿宋_GBK"/>
          <w:lang w:val="en-US" w:eastAsia="zh-CN"/>
        </w:rPr>
        <w:t>城东金融贸易区市政维修安装、绿化养护</w:t>
      </w:r>
      <w:r>
        <w:rPr>
          <w:rFonts w:hint="eastAsia" w:ascii="Times New Roman" w:hAnsi="Times New Roman" w:eastAsia="方正仿宋_GBK" w:cs="方正仿宋_GBK"/>
        </w:rPr>
        <w:t>项目开展了绩效评价工作并形成绩效评价报告，评价情况如下：</w:t>
      </w:r>
    </w:p>
    <w:p>
      <w:pPr>
        <w:pStyle w:val="4"/>
        <w:pageBreakBefore w:val="0"/>
        <w:widowControl w:val="0"/>
        <w:wordWrap/>
        <w:topLinePunct w:val="0"/>
        <w:bidi w:val="0"/>
        <w:adjustRightInd/>
        <w:snapToGrid/>
        <w:spacing w:line="560" w:lineRule="exact"/>
        <w:textAlignment w:val="auto"/>
        <w:rPr>
          <w:rFonts w:hint="eastAsia" w:ascii="Times New Roman" w:hAnsi="Times New Roman" w:eastAsia="方正仿宋_GBK" w:cs="方正仿宋_GBK"/>
        </w:rPr>
      </w:pPr>
      <w:r>
        <w:rPr>
          <w:rFonts w:hint="eastAsia" w:ascii="Times New Roman" w:hAnsi="Times New Roman" w:eastAsia="方正仿宋_GBK" w:cs="方正仿宋_GBK"/>
        </w:rPr>
        <w:t>一、基本情况</w:t>
      </w:r>
    </w:p>
    <w:p>
      <w:pPr>
        <w:pStyle w:val="5"/>
        <w:pageBreakBefore w:val="0"/>
        <w:widowControl w:val="0"/>
        <w:wordWrap/>
        <w:topLinePunct w:val="0"/>
        <w:bidi w:val="0"/>
        <w:adjustRightInd/>
        <w:snapToGrid/>
        <w:spacing w:line="560" w:lineRule="exact"/>
        <w:textAlignment w:val="auto"/>
        <w:rPr>
          <w:rFonts w:hint="eastAsia" w:ascii="Times New Roman" w:hAnsi="Times New Roman" w:eastAsia="方正仿宋_GBK" w:cs="方正仿宋_GBK"/>
        </w:rPr>
      </w:pPr>
      <w:r>
        <w:rPr>
          <w:rFonts w:hint="eastAsia" w:ascii="Times New Roman" w:hAnsi="Times New Roman" w:eastAsia="方正仿宋_GBK" w:cs="方正仿宋_GBK"/>
          <w:lang w:val="en-US" w:eastAsia="zh-CN"/>
        </w:rPr>
        <w:t>（一）</w:t>
      </w:r>
      <w:r>
        <w:rPr>
          <w:rFonts w:hint="eastAsia" w:ascii="Times New Roman" w:hAnsi="Times New Roman" w:eastAsia="方正仿宋_GBK" w:cs="方正仿宋_GBK"/>
        </w:rPr>
        <w:t>项目概况</w:t>
      </w:r>
    </w:p>
    <w:p>
      <w:pPr>
        <w:pageBreakBefore w:val="0"/>
        <w:widowControl w:val="0"/>
        <w:wordWrap/>
        <w:topLinePunct w:val="0"/>
        <w:bidi w:val="0"/>
        <w:adjustRightInd/>
        <w:snapToGrid/>
        <w:spacing w:line="560" w:lineRule="exact"/>
        <w:textAlignment w:val="auto"/>
        <w:rPr>
          <w:rFonts w:hint="eastAsia" w:ascii="Times New Roman" w:hAnsi="Times New Roman"/>
        </w:rPr>
      </w:pPr>
      <w:r>
        <w:rPr>
          <w:rFonts w:hint="eastAsia" w:ascii="Times New Roman" w:hAnsi="Times New Roman"/>
        </w:rPr>
        <w:t>项目名称：</w:t>
      </w:r>
      <w:r>
        <w:rPr>
          <w:rFonts w:hint="eastAsia" w:ascii="Times New Roman" w:hAnsi="Times New Roman"/>
          <w:lang w:val="en-US" w:eastAsia="zh-CN"/>
        </w:rPr>
        <w:t>城东金融贸易区市政维修安装、绿化养护项目</w:t>
      </w:r>
      <w:r>
        <w:rPr>
          <w:rFonts w:hint="eastAsia" w:ascii="Times New Roman" w:hAnsi="Times New Roman"/>
        </w:rPr>
        <w:t>(以下简称“该项目”或“项目”)</w:t>
      </w:r>
    </w:p>
    <w:p>
      <w:pPr>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rPr>
        <w:t>项目</w:t>
      </w:r>
      <w:r>
        <w:rPr>
          <w:rFonts w:hint="eastAsia" w:ascii="Times New Roman" w:hAnsi="Times New Roman" w:eastAsia="方正仿宋_GBK" w:cs="方正仿宋_GBK"/>
        </w:rPr>
        <w:t>背景：</w:t>
      </w:r>
      <w:r>
        <w:rPr>
          <w:rFonts w:hint="eastAsia" w:ascii="Times New Roman" w:hAnsi="Times New Roman" w:cs="方正仿宋_GBK"/>
          <w:lang w:eastAsia="zh-CN"/>
        </w:rPr>
        <w:t>在城市化不断发展的背景下，人们对城市职能也提出了较高的要求，</w:t>
      </w:r>
      <w:r>
        <w:rPr>
          <w:rFonts w:hint="eastAsia" w:ascii="Times New Roman" w:hAnsi="Times New Roman" w:cs="方正仿宋_GBK"/>
          <w:lang w:val="en-US" w:eastAsia="zh-CN"/>
        </w:rPr>
        <w:t>既</w:t>
      </w:r>
      <w:r>
        <w:rPr>
          <w:rFonts w:hint="eastAsia" w:ascii="Times New Roman" w:hAnsi="Times New Roman" w:cs="方正仿宋_GBK"/>
          <w:lang w:eastAsia="zh-CN"/>
        </w:rPr>
        <w:t>需要良好的空气又需要优美的环境，绿化养护工作在能够为人们工作生活提供良好的空气及环境的同时，还能对城市进行美化，保证了城市变得更加丰富和多彩，</w:t>
      </w:r>
      <w:r>
        <w:rPr>
          <w:rFonts w:hint="eastAsia" w:ascii="Times New Roman" w:hAnsi="Times New Roman" w:eastAsia="方正仿宋_GBK" w:cs="方正仿宋_GBK"/>
          <w:lang w:val="en-US" w:eastAsia="zh-CN"/>
        </w:rPr>
        <w:t>根据喀什经济开发区党政联席会第11期会议纪要，喀什经济开发区城东金融贸易发展服务中心绿化管护费用从2022年至2024年，每年支付当年度的绿化养护费用。2021年绿化环卫公共服务一体化项目一、二、三标段根据2021年4月签订服务合同内容执行。</w:t>
      </w:r>
    </w:p>
    <w:p>
      <w:pPr>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lang w:val="en-US" w:eastAsia="zh-CN"/>
        </w:rPr>
        <w:t>项目内容：城东金融贸易区范围内的各类零星维修改造；城市道路、地下管网、公共设施、城市基础设施等维修安装、日常养护；城东道路卫生、下水管道清淤疏通、绿化带、公共场地及设施环境卫生清扫工作；城东绿化带、绿地的浇灌、施肥、中耕除草、修剪、病虫害防治和监测，以及枯死苗木和绿地的补种补植等日常养护工作。城东金融贸易区的深喀大道、城东大道、时代大道等城市主干道和大亚郎绿地、法桐公园周边的城市机动车道、人行道、绿化带的环境卫生等日常养护工作三个标段的项目尾款；2022年绿化环卫公共服务一体化项目绿化养护面积933000㎡，道路清洁面积1095000㎡,通过实施该项目直接服务于广大人民群众，是城市经济高效化和可持续发展的重要条件之一，同时促进整个区域生活环境提高，为居民提供良好的生态生活环境，更好的促进城市的美化。</w:t>
      </w:r>
    </w:p>
    <w:p>
      <w:pPr>
        <w:pageBreakBefore w:val="0"/>
        <w:widowControl w:val="0"/>
        <w:wordWrap/>
        <w:topLinePunct w:val="0"/>
        <w:bidi w:val="0"/>
        <w:adjustRightInd/>
        <w:snapToGrid/>
        <w:spacing w:line="560" w:lineRule="exact"/>
        <w:textAlignment w:val="auto"/>
        <w:rPr>
          <w:rFonts w:hint="eastAsia" w:ascii="Times New Roman" w:hAnsi="Times New Roman"/>
        </w:rPr>
      </w:pPr>
      <w:r>
        <w:rPr>
          <w:rFonts w:hint="eastAsia" w:ascii="Times New Roman" w:hAnsi="Times New Roman"/>
        </w:rPr>
        <w:t>资金投入和使用情况：该项目预算资金总额为</w:t>
      </w:r>
      <w:r>
        <w:rPr>
          <w:rFonts w:hint="eastAsia" w:ascii="Times New Roman" w:hAnsi="Times New Roman"/>
          <w:lang w:val="en-US" w:eastAsia="zh-CN"/>
        </w:rPr>
        <w:t>923.8</w:t>
      </w:r>
      <w:r>
        <w:rPr>
          <w:rFonts w:hint="eastAsia" w:ascii="Times New Roman" w:hAnsi="Times New Roman"/>
        </w:rPr>
        <w:t>万元，其中：财政资金</w:t>
      </w:r>
      <w:r>
        <w:rPr>
          <w:rFonts w:hint="eastAsia" w:ascii="Times New Roman" w:hAnsi="Times New Roman"/>
          <w:lang w:val="en-US" w:eastAsia="zh-CN"/>
        </w:rPr>
        <w:t>923.8</w:t>
      </w:r>
      <w:r>
        <w:rPr>
          <w:rFonts w:hint="eastAsia" w:ascii="Times New Roman" w:hAnsi="Times New Roman"/>
        </w:rPr>
        <w:t>万元，其他资金</w:t>
      </w:r>
      <w:r>
        <w:rPr>
          <w:rFonts w:hint="eastAsia" w:ascii="Times New Roman" w:hAnsi="Times New Roman"/>
          <w:lang w:val="en-US" w:eastAsia="zh-CN"/>
        </w:rPr>
        <w:t>0</w:t>
      </w:r>
      <w:r>
        <w:rPr>
          <w:rFonts w:hint="eastAsia" w:ascii="Times New Roman" w:hAnsi="Times New Roman"/>
        </w:rPr>
        <w:t>万元；实际到位资金</w:t>
      </w:r>
      <w:r>
        <w:rPr>
          <w:rFonts w:hint="eastAsia" w:ascii="Times New Roman" w:hAnsi="Times New Roman"/>
          <w:lang w:val="en-US" w:eastAsia="zh-CN"/>
        </w:rPr>
        <w:t>923.8</w:t>
      </w:r>
      <w:r>
        <w:rPr>
          <w:rFonts w:hint="eastAsia" w:ascii="Times New Roman" w:hAnsi="Times New Roman"/>
        </w:rPr>
        <w:t>万元，其中：财政资金</w:t>
      </w:r>
      <w:r>
        <w:rPr>
          <w:rFonts w:hint="eastAsia" w:ascii="Times New Roman" w:hAnsi="Times New Roman"/>
          <w:lang w:val="en-US" w:eastAsia="zh-CN"/>
        </w:rPr>
        <w:t>923.8</w:t>
      </w:r>
      <w:r>
        <w:rPr>
          <w:rFonts w:hint="eastAsia" w:ascii="Times New Roman" w:hAnsi="Times New Roman"/>
        </w:rPr>
        <w:t>万元，其他资金</w:t>
      </w:r>
      <w:r>
        <w:rPr>
          <w:rFonts w:hint="eastAsia" w:ascii="Times New Roman" w:hAnsi="Times New Roman"/>
          <w:lang w:val="en-US" w:eastAsia="zh-CN"/>
        </w:rPr>
        <w:t>0</w:t>
      </w:r>
      <w:r>
        <w:rPr>
          <w:rFonts w:hint="eastAsia" w:ascii="Times New Roman" w:hAnsi="Times New Roman"/>
        </w:rPr>
        <w:t>万元，资金到位率为</w:t>
      </w:r>
      <w:r>
        <w:rPr>
          <w:rFonts w:hint="eastAsia" w:ascii="Times New Roman" w:hAnsi="Times New Roman"/>
          <w:lang w:val="en-US" w:eastAsia="zh-CN"/>
        </w:rPr>
        <w:t>100%</w:t>
      </w:r>
      <w:r>
        <w:rPr>
          <w:rFonts w:hint="eastAsia" w:ascii="Times New Roman" w:hAnsi="Times New Roman"/>
        </w:rPr>
        <w:t>；该项目实际支出资金总额为</w:t>
      </w:r>
      <w:r>
        <w:rPr>
          <w:rFonts w:hint="eastAsia" w:ascii="Times New Roman" w:hAnsi="Times New Roman"/>
          <w:lang w:val="en-US" w:eastAsia="zh-CN"/>
        </w:rPr>
        <w:t>923.8</w:t>
      </w:r>
      <w:r>
        <w:rPr>
          <w:rFonts w:hint="eastAsia" w:ascii="Times New Roman" w:hAnsi="Times New Roman"/>
        </w:rPr>
        <w:t>万元，预算资金执行率为</w:t>
      </w:r>
      <w:r>
        <w:rPr>
          <w:rFonts w:hint="eastAsia" w:ascii="Times New Roman" w:hAnsi="Times New Roman"/>
          <w:lang w:val="en-US" w:eastAsia="zh-CN"/>
        </w:rPr>
        <w:t>100</w:t>
      </w:r>
      <w:r>
        <w:rPr>
          <w:rFonts w:hint="eastAsia" w:ascii="Times New Roman" w:hAnsi="Times New Roman"/>
        </w:rPr>
        <w:t>%。</w:t>
      </w:r>
    </w:p>
    <w:p>
      <w:pPr>
        <w:pageBreakBefore w:val="0"/>
        <w:widowControl w:val="0"/>
        <w:wordWrap/>
        <w:topLinePunct w:val="0"/>
        <w:bidi w:val="0"/>
        <w:adjustRightInd/>
        <w:snapToGrid/>
        <w:spacing w:line="560" w:lineRule="exact"/>
        <w:ind w:left="0" w:leftChars="0" w:firstLine="640" w:firstLineChars="200"/>
        <w:textAlignment w:val="auto"/>
        <w:rPr>
          <w:rFonts w:hint="eastAsia" w:ascii="Times New Roman" w:hAnsi="Times New Roman" w:eastAsia="方正仿宋_GBK" w:cs="方正仿宋_GBK"/>
          <w:b w:val="0"/>
          <w:bCs/>
          <w:szCs w:val="32"/>
        </w:rPr>
      </w:pPr>
      <w:r>
        <w:rPr>
          <w:rFonts w:hint="eastAsia" w:ascii="Times New Roman" w:hAnsi="Times New Roman" w:eastAsia="方正仿宋_GBK" w:cs="方正仿宋_GBK"/>
        </w:rPr>
        <w:t>绩效评价时间：202</w:t>
      </w:r>
      <w:r>
        <w:rPr>
          <w:rFonts w:hint="eastAsia" w:ascii="Times New Roman" w:hAnsi="Times New Roman" w:eastAsia="方正仿宋_GBK" w:cs="方正仿宋_GBK"/>
          <w:lang w:val="en-US" w:eastAsia="zh-CN"/>
        </w:rPr>
        <w:t>3</w:t>
      </w:r>
      <w:r>
        <w:rPr>
          <w:rFonts w:hint="eastAsia" w:ascii="Times New Roman" w:hAnsi="Times New Roman" w:eastAsia="方正仿宋_GBK" w:cs="方正仿宋_GBK"/>
        </w:rPr>
        <w:t>年</w:t>
      </w:r>
      <w:r>
        <w:rPr>
          <w:rFonts w:hint="eastAsia" w:ascii="Times New Roman" w:hAnsi="Times New Roman" w:eastAsia="方正仿宋_GBK" w:cs="方正仿宋_GBK"/>
          <w:b w:val="0"/>
          <w:bCs w:val="0"/>
        </w:rPr>
        <w:t>0</w:t>
      </w:r>
      <w:r>
        <w:rPr>
          <w:rFonts w:hint="eastAsia" w:ascii="Times New Roman" w:hAnsi="Times New Roman" w:eastAsia="方正仿宋_GBK" w:cs="方正仿宋_GBK"/>
          <w:b w:val="0"/>
          <w:bCs w:val="0"/>
          <w:lang w:val="en-US" w:eastAsia="zh-CN"/>
        </w:rPr>
        <w:t>6</w:t>
      </w:r>
      <w:r>
        <w:rPr>
          <w:rFonts w:hint="eastAsia" w:ascii="Times New Roman" w:hAnsi="Times New Roman" w:eastAsia="方正仿宋_GBK" w:cs="方正仿宋_GBK"/>
        </w:rPr>
        <w:t>月</w:t>
      </w:r>
      <w:r>
        <w:rPr>
          <w:rFonts w:hint="eastAsia" w:ascii="Times New Roman" w:hAnsi="Times New Roman" w:cs="方正仿宋_GBK"/>
          <w:lang w:val="en-US" w:eastAsia="zh-CN"/>
        </w:rPr>
        <w:t>10</w:t>
      </w:r>
      <w:r>
        <w:rPr>
          <w:rFonts w:hint="eastAsia" w:ascii="Times New Roman" w:hAnsi="Times New Roman" w:eastAsia="方正仿宋_GBK" w:cs="方正仿宋_GBK"/>
          <w:b w:val="0"/>
          <w:bCs/>
          <w:szCs w:val="32"/>
        </w:rPr>
        <w:t>日至</w:t>
      </w:r>
      <w:r>
        <w:rPr>
          <w:rFonts w:hint="eastAsia" w:ascii="Times New Roman" w:hAnsi="Times New Roman" w:eastAsia="方正仿宋_GBK" w:cs="方正仿宋_GBK"/>
          <w:b w:val="0"/>
          <w:bCs w:val="0"/>
        </w:rPr>
        <w:t>202</w:t>
      </w:r>
      <w:r>
        <w:rPr>
          <w:rFonts w:hint="eastAsia" w:ascii="Times New Roman" w:hAnsi="Times New Roman" w:eastAsia="方正仿宋_GBK" w:cs="方正仿宋_GBK"/>
          <w:b w:val="0"/>
          <w:bCs w:val="0"/>
          <w:lang w:val="en-US" w:eastAsia="zh-CN"/>
        </w:rPr>
        <w:t>3</w:t>
      </w:r>
      <w:r>
        <w:rPr>
          <w:rFonts w:hint="eastAsia" w:ascii="Times New Roman" w:hAnsi="Times New Roman" w:eastAsia="方正仿宋_GBK" w:cs="方正仿宋_GBK"/>
          <w:b w:val="0"/>
          <w:bCs/>
          <w:szCs w:val="32"/>
        </w:rPr>
        <w:t>年</w:t>
      </w:r>
      <w:r>
        <w:rPr>
          <w:rFonts w:hint="eastAsia" w:ascii="Times New Roman" w:hAnsi="Times New Roman" w:eastAsia="方正仿宋_GBK" w:cs="方正仿宋_GBK"/>
          <w:b w:val="0"/>
          <w:bCs w:val="0"/>
        </w:rPr>
        <w:t>0</w:t>
      </w:r>
      <w:r>
        <w:rPr>
          <w:rFonts w:hint="eastAsia" w:ascii="Times New Roman" w:hAnsi="Times New Roman" w:eastAsia="方正仿宋_GBK" w:cs="方正仿宋_GBK"/>
          <w:b w:val="0"/>
          <w:bCs w:val="0"/>
          <w:lang w:val="en-US" w:eastAsia="zh-CN"/>
        </w:rPr>
        <w:t>7</w:t>
      </w:r>
      <w:r>
        <w:rPr>
          <w:rFonts w:hint="eastAsia" w:ascii="Times New Roman" w:hAnsi="Times New Roman" w:eastAsia="方正仿宋_GBK" w:cs="方正仿宋_GBK"/>
          <w:b w:val="0"/>
          <w:bCs/>
          <w:szCs w:val="32"/>
        </w:rPr>
        <w:t>月</w:t>
      </w:r>
      <w:r>
        <w:rPr>
          <w:rFonts w:hint="eastAsia" w:ascii="Times New Roman" w:hAnsi="Times New Roman" w:cs="方正仿宋_GBK"/>
          <w:b w:val="0"/>
          <w:bCs w:val="0"/>
          <w:lang w:val="en-US" w:eastAsia="zh-CN"/>
        </w:rPr>
        <w:t>28</w:t>
      </w:r>
      <w:r>
        <w:rPr>
          <w:rFonts w:hint="eastAsia" w:ascii="Times New Roman" w:hAnsi="Times New Roman" w:eastAsia="方正仿宋_GBK" w:cs="方正仿宋_GBK"/>
          <w:b w:val="0"/>
          <w:bCs/>
          <w:szCs w:val="32"/>
        </w:rPr>
        <w:t>日。</w:t>
      </w:r>
    </w:p>
    <w:p>
      <w:pPr>
        <w:pStyle w:val="5"/>
        <w:pageBreakBefore w:val="0"/>
        <w:widowControl w:val="0"/>
        <w:wordWrap/>
        <w:topLinePunct w:val="0"/>
        <w:bidi w:val="0"/>
        <w:adjustRightInd/>
        <w:snapToGrid/>
        <w:spacing w:line="560" w:lineRule="exact"/>
        <w:textAlignment w:val="auto"/>
        <w:rPr>
          <w:rFonts w:hint="eastAsia" w:ascii="Times New Roman" w:hAnsi="Times New Roman" w:eastAsia="方正仿宋_GBK" w:cs="方正仿宋_GBK"/>
        </w:rPr>
      </w:pPr>
      <w:r>
        <w:rPr>
          <w:rFonts w:hint="eastAsia" w:ascii="Times New Roman" w:hAnsi="Times New Roman" w:eastAsia="方正仿宋_GBK" w:cs="方正仿宋_GBK"/>
          <w:lang w:eastAsia="zh-CN"/>
        </w:rPr>
        <w:t>（二）</w:t>
      </w:r>
      <w:r>
        <w:rPr>
          <w:rFonts w:hint="eastAsia" w:ascii="Times New Roman" w:hAnsi="Times New Roman" w:eastAsia="方正仿宋_GBK" w:cs="方正仿宋_GBK"/>
        </w:rPr>
        <w:t>评价工作概况</w:t>
      </w:r>
    </w:p>
    <w:p>
      <w:pPr>
        <w:pageBreakBefore w:val="0"/>
        <w:widowControl w:val="0"/>
        <w:wordWrap/>
        <w:topLinePunct w:val="0"/>
        <w:bidi w:val="0"/>
        <w:adjustRightInd/>
        <w:snapToGrid/>
        <w:spacing w:line="560" w:lineRule="exact"/>
        <w:textAlignment w:val="auto"/>
        <w:rPr>
          <w:rFonts w:hint="eastAsia" w:ascii="Times New Roman" w:hAnsi="Times New Roman"/>
        </w:rPr>
      </w:pPr>
      <w:r>
        <w:rPr>
          <w:rFonts w:hint="eastAsia" w:ascii="Times New Roman" w:hAnsi="Times New Roman"/>
        </w:rPr>
        <w:t>本次项目绩效评价时段确定为202</w:t>
      </w:r>
      <w:r>
        <w:rPr>
          <w:rFonts w:hint="eastAsia" w:ascii="Times New Roman" w:hAnsi="Times New Roman"/>
          <w:lang w:val="en-US" w:eastAsia="zh-CN"/>
        </w:rPr>
        <w:t>2</w:t>
      </w:r>
      <w:r>
        <w:rPr>
          <w:rFonts w:hint="eastAsia" w:ascii="Times New Roman" w:hAnsi="Times New Roman"/>
        </w:rPr>
        <w:t>年0</w:t>
      </w:r>
      <w:r>
        <w:rPr>
          <w:rFonts w:hint="eastAsia" w:ascii="Times New Roman" w:hAnsi="Times New Roman"/>
          <w:lang w:val="en-US" w:eastAsia="zh-CN"/>
        </w:rPr>
        <w:t>1</w:t>
      </w:r>
      <w:r>
        <w:rPr>
          <w:rFonts w:hint="eastAsia" w:ascii="Times New Roman" w:hAnsi="Times New Roman"/>
        </w:rPr>
        <w:t>月至202</w:t>
      </w:r>
      <w:r>
        <w:rPr>
          <w:rFonts w:hint="eastAsia" w:ascii="Times New Roman" w:hAnsi="Times New Roman"/>
          <w:lang w:val="en-US" w:eastAsia="zh-CN"/>
        </w:rPr>
        <w:t>2</w:t>
      </w:r>
      <w:r>
        <w:rPr>
          <w:rFonts w:hint="eastAsia" w:ascii="Times New Roman" w:hAnsi="Times New Roman"/>
        </w:rPr>
        <w:t>年</w:t>
      </w:r>
      <w:r>
        <w:rPr>
          <w:rFonts w:hint="eastAsia" w:ascii="Times New Roman" w:hAnsi="Times New Roman"/>
          <w:lang w:val="en-US" w:eastAsia="zh-CN"/>
        </w:rPr>
        <w:t>12</w:t>
      </w:r>
      <w:r>
        <w:rPr>
          <w:rFonts w:hint="eastAsia" w:ascii="Times New Roman" w:hAnsi="Times New Roman"/>
        </w:rPr>
        <w:t>月。本次评价目的是为全面了解</w:t>
      </w:r>
      <w:r>
        <w:rPr>
          <w:rFonts w:hint="eastAsia" w:ascii="Times New Roman" w:hAnsi="Times New Roman"/>
          <w:lang w:val="en-US" w:eastAsia="zh-CN"/>
        </w:rPr>
        <w:t>城东金融贸易区市政维修安装、绿化养护项目</w:t>
      </w:r>
      <w:r>
        <w:rPr>
          <w:rFonts w:hint="eastAsia" w:ascii="Times New Roman" w:hAnsi="Times New Roman"/>
        </w:rPr>
        <w:t>预算编制合理性、资金使用合规性、项目管理的规范性、项目目标的实现情况、服务对象的满意度等，对</w:t>
      </w:r>
      <w:r>
        <w:rPr>
          <w:rFonts w:hint="eastAsia" w:ascii="Times New Roman" w:hAnsi="Times New Roman"/>
          <w:lang w:val="en-US" w:eastAsia="zh-CN"/>
        </w:rPr>
        <w:t>城东金融贸易区市政维修安装、绿化养护项目</w:t>
      </w:r>
      <w:r>
        <w:rPr>
          <w:rFonts w:hint="eastAsia" w:ascii="Times New Roman" w:hAnsi="Times New Roman"/>
        </w:rPr>
        <w:t>支出的经济性、效率性、效益性和公平性进行客观、公正的测量、分析和评判，通过本次绩效评价来总结经验和教训，促进项目成果转化和应用，为今后类似项目的长效管理，提供可行性参考建议。项目组结合评价内容，从三方面实施绩效评价：一是通过查阅资料了解项目政策、立项背景和决策过程等；二是通过走访项目实施单位进行实地调研，了解项目实施完成真实情况；三是通过收集项目资料等基础数据采集、发放问卷、书面访谈等方式多渠道获取评价信息。</w:t>
      </w:r>
    </w:p>
    <w:p>
      <w:pPr>
        <w:pStyle w:val="4"/>
        <w:pageBreakBefore w:val="0"/>
        <w:widowControl w:val="0"/>
        <w:wordWrap/>
        <w:topLinePunct w:val="0"/>
        <w:bidi w:val="0"/>
        <w:adjustRightInd/>
        <w:snapToGrid/>
        <w:spacing w:line="560" w:lineRule="exact"/>
        <w:textAlignment w:val="auto"/>
        <w:rPr>
          <w:rFonts w:hint="eastAsia" w:ascii="Times New Roman" w:hAnsi="Times New Roman" w:eastAsia="方正仿宋_GBK" w:cs="方正仿宋_GBK"/>
        </w:rPr>
      </w:pPr>
      <w:r>
        <w:rPr>
          <w:rFonts w:hint="eastAsia" w:ascii="Times New Roman" w:hAnsi="Times New Roman" w:eastAsia="方正仿宋_GBK" w:cs="方正仿宋_GBK"/>
        </w:rPr>
        <w:t>二、评价结论</w:t>
      </w:r>
    </w:p>
    <w:p>
      <w:pPr>
        <w:pageBreakBefore w:val="0"/>
        <w:widowControl w:val="0"/>
        <w:wordWrap/>
        <w:topLinePunct w:val="0"/>
        <w:bidi w:val="0"/>
        <w:adjustRightInd/>
        <w:snapToGrid/>
        <w:spacing w:line="560" w:lineRule="exact"/>
        <w:textAlignment w:val="auto"/>
        <w:rPr>
          <w:rFonts w:hint="eastAsia" w:ascii="Times New Roman" w:hAnsi="Times New Roman"/>
          <w:highlight w:val="yellow"/>
          <w:lang w:eastAsia="zh-CN"/>
        </w:rPr>
      </w:pPr>
      <w:r>
        <w:rPr>
          <w:rFonts w:hint="eastAsia" w:ascii="Times New Roman" w:hAnsi="Times New Roman"/>
        </w:rPr>
        <w:t>通过调研、数据分析、访谈等方式，</w:t>
      </w:r>
      <w:r>
        <w:rPr>
          <w:rFonts w:hint="eastAsia" w:ascii="Times New Roman" w:hAnsi="Times New Roman" w:eastAsia="方正仿宋_GBK" w:cs="方正仿宋_GBK"/>
          <w:b w:val="0"/>
          <w:bCs/>
          <w:sz w:val="32"/>
          <w:szCs w:val="32"/>
        </w:rPr>
        <w:t>根据《自治区全面实施预算绩效管理的工作方案》（新财预〔2018〕158号）、《项目支出绩效评价管理办法》（财预〔2020〕10号）等政策文件</w:t>
      </w:r>
      <w:r>
        <w:rPr>
          <w:rFonts w:hint="eastAsia" w:ascii="Times New Roman" w:hAnsi="Times New Roman"/>
        </w:rPr>
        <w:t>确定的指标体系及评分标准，对“</w:t>
      </w:r>
      <w:r>
        <w:rPr>
          <w:rFonts w:hint="eastAsia" w:ascii="Times New Roman" w:hAnsi="Times New Roman"/>
          <w:lang w:val="en-US" w:eastAsia="zh-CN"/>
        </w:rPr>
        <w:t>城东金融贸易区市政维修安装、绿化养护项目</w:t>
      </w:r>
      <w:r>
        <w:rPr>
          <w:rFonts w:hint="eastAsia" w:ascii="Times New Roman" w:hAnsi="Times New Roman"/>
        </w:rPr>
        <w:t>”绩效进行客观评价，该项目组织比较规范，目标完成情况良好</w:t>
      </w:r>
      <w:r>
        <w:rPr>
          <w:rFonts w:hint="eastAsia" w:ascii="Times New Roman" w:hAnsi="Times New Roman"/>
          <w:lang w:eastAsia="zh-CN"/>
        </w:rPr>
        <w:t>全部</w:t>
      </w:r>
      <w:r>
        <w:rPr>
          <w:rFonts w:hint="eastAsia" w:ascii="Times New Roman" w:hAnsi="Times New Roman"/>
        </w:rPr>
        <w:t>指标实现了预期目标，</w:t>
      </w:r>
      <w:r>
        <w:rPr>
          <w:rFonts w:hint="eastAsia" w:ascii="Times New Roman" w:hAnsi="Times New Roman"/>
          <w:highlight w:val="none"/>
        </w:rPr>
        <w:t>项目最终得分为</w:t>
      </w:r>
      <w:r>
        <w:rPr>
          <w:rFonts w:hint="eastAsia" w:ascii="Times New Roman" w:hAnsi="Times New Roman"/>
          <w:highlight w:val="none"/>
          <w:lang w:val="en-US" w:eastAsia="zh-CN"/>
        </w:rPr>
        <w:t>99</w:t>
      </w:r>
      <w:r>
        <w:rPr>
          <w:rFonts w:hint="eastAsia" w:ascii="Times New Roman" w:hAnsi="Times New Roman"/>
          <w:highlight w:val="none"/>
        </w:rPr>
        <w:t>分，评价级别属于“</w:t>
      </w:r>
      <w:r>
        <w:rPr>
          <w:rFonts w:hint="eastAsia" w:ascii="Times New Roman" w:hAnsi="Times New Roman"/>
          <w:highlight w:val="none"/>
          <w:lang w:eastAsia="zh-CN"/>
        </w:rPr>
        <w:t>优</w:t>
      </w:r>
      <w:r>
        <w:rPr>
          <w:rFonts w:hint="eastAsia" w:ascii="Times New Roman" w:hAnsi="Times New Roman"/>
          <w:highlight w:val="none"/>
        </w:rPr>
        <w:t>”</w:t>
      </w:r>
      <w:r>
        <w:rPr>
          <w:rFonts w:hint="eastAsia" w:ascii="Times New Roman" w:hAnsi="Times New Roman"/>
          <w:highlight w:val="none"/>
          <w:lang w:eastAsia="zh-CN"/>
        </w:rPr>
        <w:t>，其中，项目决策类指标权重</w:t>
      </w:r>
      <w:r>
        <w:rPr>
          <w:rFonts w:hint="eastAsia" w:ascii="Times New Roman" w:hAnsi="Times New Roman"/>
          <w:highlight w:val="none"/>
          <w:lang w:val="en-US" w:eastAsia="zh-CN"/>
        </w:rPr>
        <w:t>20</w:t>
      </w:r>
      <w:r>
        <w:rPr>
          <w:rFonts w:hint="eastAsia" w:ascii="Times New Roman" w:hAnsi="Times New Roman"/>
          <w:highlight w:val="none"/>
          <w:lang w:eastAsia="zh-CN"/>
        </w:rPr>
        <w:t>分，得分</w:t>
      </w:r>
      <w:r>
        <w:rPr>
          <w:rFonts w:hint="eastAsia" w:ascii="Times New Roman" w:hAnsi="Times New Roman"/>
          <w:highlight w:val="none"/>
          <w:lang w:val="en-US" w:eastAsia="zh-CN"/>
        </w:rPr>
        <w:t>20</w:t>
      </w:r>
      <w:r>
        <w:rPr>
          <w:rFonts w:hint="eastAsia" w:ascii="Times New Roman" w:hAnsi="Times New Roman"/>
          <w:highlight w:val="none"/>
          <w:lang w:eastAsia="zh-CN"/>
        </w:rPr>
        <w:t>分，得分率</w:t>
      </w:r>
      <w:r>
        <w:rPr>
          <w:rFonts w:hint="eastAsia" w:ascii="Times New Roman" w:hAnsi="Times New Roman"/>
          <w:highlight w:val="none"/>
          <w:lang w:val="en-US" w:eastAsia="zh-CN"/>
        </w:rPr>
        <w:t>100%</w:t>
      </w:r>
      <w:r>
        <w:rPr>
          <w:rFonts w:hint="eastAsia" w:ascii="Times New Roman" w:hAnsi="Times New Roman"/>
          <w:highlight w:val="none"/>
          <w:lang w:eastAsia="zh-CN"/>
        </w:rPr>
        <w:t>；项目管理类指标权重</w:t>
      </w:r>
      <w:r>
        <w:rPr>
          <w:rFonts w:hint="eastAsia" w:ascii="Times New Roman" w:hAnsi="Times New Roman"/>
          <w:highlight w:val="none"/>
          <w:lang w:val="en-US" w:eastAsia="zh-CN"/>
        </w:rPr>
        <w:t>20</w:t>
      </w:r>
      <w:r>
        <w:rPr>
          <w:rFonts w:hint="eastAsia" w:ascii="Times New Roman" w:hAnsi="Times New Roman"/>
          <w:highlight w:val="none"/>
          <w:lang w:eastAsia="zh-CN"/>
        </w:rPr>
        <w:t>分，得分</w:t>
      </w:r>
      <w:r>
        <w:rPr>
          <w:rFonts w:hint="eastAsia" w:ascii="Times New Roman" w:hAnsi="Times New Roman"/>
          <w:highlight w:val="none"/>
          <w:lang w:val="en-US" w:eastAsia="zh-CN"/>
        </w:rPr>
        <w:t>19</w:t>
      </w:r>
      <w:r>
        <w:rPr>
          <w:rFonts w:hint="eastAsia" w:ascii="Times New Roman" w:hAnsi="Times New Roman"/>
          <w:highlight w:val="none"/>
          <w:lang w:eastAsia="zh-CN"/>
        </w:rPr>
        <w:t>分，得分率</w:t>
      </w:r>
      <w:r>
        <w:rPr>
          <w:rFonts w:hint="eastAsia" w:ascii="Times New Roman" w:hAnsi="Times New Roman"/>
          <w:highlight w:val="none"/>
          <w:lang w:val="en-US" w:eastAsia="zh-CN"/>
        </w:rPr>
        <w:t>95%</w:t>
      </w:r>
      <w:r>
        <w:rPr>
          <w:rFonts w:hint="eastAsia" w:ascii="Times New Roman" w:hAnsi="Times New Roman"/>
          <w:highlight w:val="none"/>
          <w:lang w:eastAsia="zh-CN"/>
        </w:rPr>
        <w:t>；项目绩效类指标权重</w:t>
      </w:r>
      <w:r>
        <w:rPr>
          <w:rFonts w:hint="eastAsia" w:ascii="Times New Roman" w:hAnsi="Times New Roman"/>
          <w:highlight w:val="none"/>
          <w:lang w:val="en-US" w:eastAsia="zh-CN"/>
        </w:rPr>
        <w:t>60</w:t>
      </w:r>
      <w:r>
        <w:rPr>
          <w:rFonts w:hint="eastAsia" w:ascii="Times New Roman" w:hAnsi="Times New Roman"/>
          <w:highlight w:val="none"/>
          <w:lang w:eastAsia="zh-CN"/>
        </w:rPr>
        <w:t>分，得分</w:t>
      </w:r>
      <w:r>
        <w:rPr>
          <w:rFonts w:hint="eastAsia" w:ascii="Times New Roman" w:hAnsi="Times New Roman"/>
          <w:highlight w:val="none"/>
          <w:lang w:val="en-US" w:eastAsia="zh-CN"/>
        </w:rPr>
        <w:t>60</w:t>
      </w:r>
      <w:r>
        <w:rPr>
          <w:rFonts w:hint="eastAsia" w:ascii="Times New Roman" w:hAnsi="Times New Roman"/>
          <w:highlight w:val="none"/>
          <w:lang w:eastAsia="zh-CN"/>
        </w:rPr>
        <w:t>分，得分率</w:t>
      </w:r>
      <w:r>
        <w:rPr>
          <w:rFonts w:hint="eastAsia" w:ascii="Times New Roman" w:hAnsi="Times New Roman"/>
          <w:highlight w:val="none"/>
          <w:lang w:val="en-US" w:eastAsia="zh-CN"/>
        </w:rPr>
        <w:t>100%</w:t>
      </w:r>
      <w:r>
        <w:rPr>
          <w:rFonts w:hint="eastAsia" w:ascii="Times New Roman" w:hAnsi="Times New Roman"/>
          <w:highlight w:val="none"/>
          <w:lang w:eastAsia="zh-CN"/>
        </w:rPr>
        <w:t>。</w:t>
      </w:r>
    </w:p>
    <w:p>
      <w:pPr>
        <w:pStyle w:val="4"/>
        <w:pageBreakBefore w:val="0"/>
        <w:widowControl w:val="0"/>
        <w:wordWrap/>
        <w:topLinePunct w:val="0"/>
        <w:bidi w:val="0"/>
        <w:adjustRightInd/>
        <w:snapToGrid/>
        <w:spacing w:line="560" w:lineRule="exact"/>
        <w:textAlignment w:val="auto"/>
        <w:rPr>
          <w:rFonts w:hint="eastAsia" w:ascii="Times New Roman" w:hAnsi="Times New Roman" w:eastAsia="方正仿宋_GBK" w:cs="方正仿宋_GBK"/>
        </w:rPr>
      </w:pPr>
      <w:r>
        <w:rPr>
          <w:rFonts w:hint="eastAsia" w:ascii="Times New Roman" w:hAnsi="Times New Roman" w:eastAsia="方正仿宋_GBK" w:cs="方正仿宋_GBK"/>
        </w:rPr>
        <w:t>三、主要经验及做法、存在的问题和改进的建议</w:t>
      </w:r>
    </w:p>
    <w:p>
      <w:pPr>
        <w:pStyle w:val="5"/>
        <w:pageBreakBefore w:val="0"/>
        <w:widowControl w:val="0"/>
        <w:wordWrap/>
        <w:topLinePunct w:val="0"/>
        <w:bidi w:val="0"/>
        <w:adjustRightInd/>
        <w:snapToGrid/>
        <w:spacing w:line="560" w:lineRule="exact"/>
        <w:textAlignment w:val="auto"/>
        <w:rPr>
          <w:rFonts w:hint="eastAsia" w:ascii="Times New Roman" w:hAnsi="Times New Roman" w:eastAsia="方正仿宋_GBK" w:cs="方正仿宋_GBK"/>
        </w:rPr>
      </w:pPr>
      <w:r>
        <w:rPr>
          <w:rFonts w:hint="eastAsia" w:ascii="Times New Roman" w:hAnsi="Times New Roman" w:eastAsia="方正仿宋_GBK" w:cs="方正仿宋_GBK"/>
        </w:rPr>
        <w:t>(一)主要经验及做法</w:t>
      </w:r>
    </w:p>
    <w:p>
      <w:pPr>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lang w:val="en-US" w:eastAsia="zh-CN"/>
        </w:rPr>
        <w:t>该项目通过绩效目标评价管理，总结了工作中的较好的经验，项目实施过程中喀什经济开发区城东金融贸易发展服务中心根据相关实施方案等要求保障了项目的顺利实施，项目的实施遵守相关法律法规和业务管理规定，严格按照立项依据文件和项目实施方案稳步推进工作，有健全的财务管理制度及项目管理制度，每月对绿化养护项目进度情况进行督导检查，对绿化养护面积和成果进行验收，对检查过程中发现的问题及时督促整改，确保了项目按时保质完成；资金的拨付有完整的审批程序和手续，不存在截留、挤占、挪用等情况，预算资金的使用效益达到了最大化。</w:t>
      </w:r>
    </w:p>
    <w:p>
      <w:pPr>
        <w:pStyle w:val="5"/>
        <w:pageBreakBefore w:val="0"/>
        <w:widowControl w:val="0"/>
        <w:wordWrap/>
        <w:topLinePunct w:val="0"/>
        <w:bidi w:val="0"/>
        <w:adjustRightInd/>
        <w:snapToGrid/>
        <w:spacing w:line="560" w:lineRule="exact"/>
        <w:textAlignment w:val="auto"/>
        <w:rPr>
          <w:rFonts w:hint="eastAsia" w:ascii="Times New Roman" w:hAnsi="Times New Roman" w:eastAsia="方正仿宋_GBK" w:cs="方正仿宋_GBK"/>
        </w:rPr>
      </w:pPr>
      <w:r>
        <w:rPr>
          <w:rFonts w:hint="eastAsia" w:ascii="Times New Roman" w:hAnsi="Times New Roman" w:eastAsia="方正仿宋_GBK" w:cs="方正仿宋_GBK"/>
        </w:rPr>
        <w:t>(二)存在的问题</w:t>
      </w:r>
    </w:p>
    <w:p>
      <w:pPr>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lang w:val="en-US" w:eastAsia="zh-CN"/>
        </w:rPr>
        <w:t>该项目中的子项目城东金融贸易区范围内的各类零星维修改造项目，未审计。</w:t>
      </w:r>
    </w:p>
    <w:p>
      <w:pPr>
        <w:pStyle w:val="2"/>
        <w:pageBreakBefore w:val="0"/>
        <w:wordWrap/>
        <w:topLinePunct w:val="0"/>
        <w:bidi w:val="0"/>
        <w:adjustRightInd/>
        <w:snapToGrid/>
        <w:spacing w:line="560" w:lineRule="exact"/>
        <w:ind w:left="0" w:leftChars="0" w:firstLine="0" w:firstLineChars="0"/>
        <w:textAlignment w:val="auto"/>
        <w:rPr>
          <w:rFonts w:hint="eastAsia" w:ascii="Times New Roman" w:hAnsi="Times New Roman" w:eastAsia="方正仿宋_GBK" w:cs="方正仿宋_GBK"/>
          <w:lang w:val="en-US" w:eastAsia="zh-CN"/>
        </w:rPr>
      </w:pPr>
      <w:r>
        <w:rPr>
          <w:rFonts w:hint="eastAsia" w:ascii="Times New Roman" w:hAnsi="Times New Roman"/>
          <w:lang w:val="en-US" w:eastAsia="zh-CN"/>
        </w:rPr>
        <w:t xml:space="preserve">    因疫情原因的影</w:t>
      </w:r>
      <w:r>
        <w:rPr>
          <w:rFonts w:hint="eastAsia" w:ascii="Times New Roman" w:hAnsi="Times New Roman" w:eastAsia="方正仿宋_GBK" w:cs="方正仿宋_GBK"/>
          <w:lang w:val="en-US" w:eastAsia="zh-CN"/>
        </w:rPr>
        <w:t>响，该项目进度款支付较慢，2021年合同到期时间为2022年4月1日，项目尾款支付时间为2022年9月21日。</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(三)有关建议</w:t>
      </w:r>
    </w:p>
    <w:p>
      <w:pPr>
        <w:pStyle w:val="2"/>
        <w:pageBreakBefore w:val="0"/>
        <w:wordWrap/>
        <w:topLinePunct w:val="0"/>
        <w:bidi w:val="0"/>
        <w:adjustRightInd/>
        <w:snapToGrid/>
        <w:spacing w:line="560" w:lineRule="exact"/>
        <w:ind w:left="0" w:leftChars="0" w:firstLine="640" w:firstLineChars="200"/>
        <w:textAlignment w:val="auto"/>
        <w:rPr>
          <w:rFonts w:hint="eastAsia" w:ascii="Times New Roman" w:hAnsi="Times New Roman"/>
          <w:lang w:val="en-US" w:eastAsia="zh-CN"/>
        </w:rPr>
      </w:pPr>
      <w:r>
        <w:rPr>
          <w:rFonts w:hint="eastAsia" w:ascii="Times New Roman" w:hAnsi="Times New Roman"/>
          <w:lang w:val="en-US" w:eastAsia="zh-CN"/>
        </w:rPr>
        <w:t>聘请具有审计资质的第三方审计公司评审城东金融贸易区范围内的各类零星维修改造项目，以审定价作为该项目的结算价。</w:t>
      </w:r>
    </w:p>
    <w:p>
      <w:pPr>
        <w:pStyle w:val="2"/>
        <w:pageBreakBefore w:val="0"/>
        <w:wordWrap/>
        <w:topLinePunct w:val="0"/>
        <w:bidi w:val="0"/>
        <w:adjustRightInd/>
        <w:snapToGrid/>
        <w:spacing w:line="560" w:lineRule="exact"/>
        <w:ind w:left="0" w:leftChars="0" w:firstLine="640" w:firstLineChars="200"/>
        <w:textAlignment w:val="auto"/>
        <w:rPr>
          <w:rFonts w:hint="default" w:ascii="Times New Roman" w:hAnsi="Times New Roman"/>
          <w:lang w:val="en-US" w:eastAsia="zh-CN"/>
        </w:rPr>
      </w:pPr>
      <w:r>
        <w:rPr>
          <w:rFonts w:hint="eastAsia" w:ascii="Times New Roman" w:hAnsi="Times New Roman"/>
          <w:lang w:val="en-US" w:eastAsia="zh-CN"/>
        </w:rPr>
        <w:t>在项目资金到位的情况下，按照项目施工进度及时支付项目资金，减少项目实施企业资金压力。</w:t>
      </w:r>
    </w:p>
    <w:p>
      <w:pPr>
        <w:pageBreakBefore w:val="0"/>
        <w:widowControl w:val="0"/>
        <w:wordWrap/>
        <w:topLinePunct w:val="0"/>
        <w:bidi w:val="0"/>
        <w:adjustRightInd/>
        <w:snapToGrid/>
        <w:spacing w:line="560" w:lineRule="exact"/>
        <w:ind w:left="0" w:leftChars="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cs="方正仿宋_GBK"/>
          <w:b w:val="0"/>
          <w:bCs w:val="0"/>
          <w:color w:val="000000" w:themeColor="text1"/>
          <w:kern w:val="0"/>
          <w:sz w:val="32"/>
          <w:szCs w:val="32"/>
          <w:lang w:val="en-US" w:eastAsia="zh-CN" w:bidi="en-US"/>
          <w14:textFill>
            <w14:solidFill>
              <w14:schemeClr w14:val="tx1"/>
            </w14:solidFill>
          </w14:textFill>
        </w:rPr>
        <w:t>在绿化养护方面，</w:t>
      </w:r>
      <w:r>
        <w:rPr>
          <w:rFonts w:hint="eastAsia" w:ascii="Times New Roman" w:hAnsi="Times New Roman" w:eastAsia="方正仿宋_GBK" w:cs="方正仿宋_GBK"/>
          <w:lang w:val="en-US" w:eastAsia="zh-CN"/>
        </w:rPr>
        <w:t>绿化带</w:t>
      </w:r>
      <w:r>
        <w:rPr>
          <w:rFonts w:hint="eastAsia" w:ascii="Times New Roman" w:hAnsi="Times New Roman" w:cs="方正仿宋_GBK"/>
          <w:lang w:val="en-US" w:eastAsia="zh-CN"/>
        </w:rPr>
        <w:t>的维护</w:t>
      </w:r>
      <w:r>
        <w:rPr>
          <w:rFonts w:hint="eastAsia" w:ascii="Times New Roman" w:hAnsi="Times New Roman" w:eastAsia="方正仿宋_GBK" w:cs="方正仿宋_GBK"/>
          <w:lang w:val="en-US" w:eastAsia="zh-CN"/>
        </w:rPr>
        <w:t>、绿地的浇灌、施肥、中耕除草、修剪、病虫害防治和监测以及枯死苗木和绿地的补种补植等日常养护工作</w:t>
      </w:r>
      <w:r>
        <w:rPr>
          <w:rFonts w:hint="eastAsia" w:ascii="Times New Roman" w:hAnsi="Times New Roman" w:cs="方正仿宋_GBK"/>
          <w:lang w:val="en-US" w:eastAsia="zh-CN"/>
        </w:rPr>
        <w:t>无法审计，建议建立养护质量等级及苗木的成活率等级，按照不同的等级作为结算的基准。</w:t>
      </w:r>
    </w:p>
    <w:p>
      <w:pPr>
        <w:pageBreakBefore w:val="0"/>
        <w:wordWrap/>
        <w:topLinePunct w:val="0"/>
        <w:bidi w:val="0"/>
        <w:adjustRightInd/>
        <w:snapToGri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kern w:val="2"/>
          <w:sz w:val="21"/>
          <w:szCs w:val="22"/>
          <w:lang w:val="en-US" w:eastAsia="zh-CN" w:bidi="ar-SA"/>
        </w:rPr>
        <w:br w:type="page"/>
      </w:r>
    </w:p>
    <w:sdt>
      <w:sdtPr>
        <w:rPr>
          <w:rFonts w:ascii="宋体" w:hAnsi="宋体" w:eastAsia="宋体" w:cs="黑体"/>
          <w:kern w:val="2"/>
          <w:sz w:val="21"/>
          <w:szCs w:val="22"/>
          <w:lang w:val="en-US" w:eastAsia="zh-CN" w:bidi="ar-SA"/>
        </w:rPr>
        <w:id w:val="147468360"/>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4" w:name="_Toc3180_WPSOffice_Type3"/>
          <w:r>
            <w:rPr>
              <w:rFonts w:ascii="宋体" w:hAnsi="宋体" w:eastAsia="宋体"/>
              <w:sz w:val="21"/>
            </w:rPr>
            <w:t>目录</w:t>
          </w:r>
        </w:p>
        <w:p>
          <w:pPr>
            <w:pStyle w:val="38"/>
            <w:tabs>
              <w:tab w:val="right" w:leader="dot" w:pos="8844"/>
            </w:tabs>
          </w:pPr>
          <w:r>
            <w:fldChar w:fldCharType="begin"/>
          </w:r>
          <w:r>
            <w:instrText xml:space="preserve"> HYPERLINK \l _Toc19723_WPSOffice_Level1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f3dc453f-f042-418d-8324-396420ddbfa1}"/>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小标宋_GBK" w:cs="方正小标宋_GBK"/>
                </w:rPr>
                <w:t>城东金融贸易区市政维修安装、绿化养护项目</w:t>
              </w:r>
              <w:sdt>
                <w:sdtPr>
                  <w:rPr>
                    <w:rFonts w:ascii="方正仿宋_GBK" w:hAnsi="方正仿宋_GBK" w:eastAsia="方正黑体_GBK" w:cs="黑体"/>
                    <w:b/>
                    <w:kern w:val="44"/>
                    <w:sz w:val="32"/>
                    <w:szCs w:val="22"/>
                    <w:lang w:val="en-US" w:eastAsia="zh-CN" w:bidi="ar-SA"/>
                  </w:rPr>
                  <w:id w:val="147468360"/>
                  <w:placeholder>
                    <w:docPart w:val="{200ae37a-517f-4bb5-9567-73708e1f7a19}"/>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小标宋_GBK" w:cs="方正小标宋_GBK"/>
                    </w:rPr>
                    <w:t>绩效评价报告</w:t>
                  </w:r>
                </w:sdtContent>
              </w:sdt>
            </w:sdtContent>
          </w:sdt>
          <w:r>
            <w:tab/>
          </w:r>
          <w:bookmarkStart w:id="5" w:name="_Toc19723_WPSOffice_Level1Page"/>
          <w:r>
            <w:t>1</w:t>
          </w:r>
          <w:bookmarkEnd w:id="5"/>
          <w:r>
            <w:fldChar w:fldCharType="end"/>
          </w:r>
        </w:p>
        <w:p>
          <w:pPr>
            <w:pStyle w:val="38"/>
            <w:tabs>
              <w:tab w:val="right" w:leader="dot" w:pos="8844"/>
            </w:tabs>
          </w:pPr>
          <w:r>
            <w:fldChar w:fldCharType="begin"/>
          </w:r>
          <w:r>
            <w:instrText xml:space="preserve"> HYPERLINK \l _Toc18734_WPSOffice_Level1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1e025960-e1ea-4919-89f5-2a2544913b3d}"/>
              </w:placeholder>
            </w:sdtPr>
            <w:sdtEndPr>
              <w:rPr>
                <w:rFonts w:ascii="方正仿宋_GBK" w:hAnsi="方正仿宋_GBK" w:eastAsia="方正黑体_GBK" w:cs="黑体"/>
                <w:b/>
                <w:kern w:val="44"/>
                <w:sz w:val="32"/>
                <w:szCs w:val="22"/>
                <w:lang w:val="en-US" w:eastAsia="zh-CN" w:bidi="ar-SA"/>
              </w:rPr>
            </w:sdtEndPr>
            <w:sdtContent>
              <w:r>
                <w:rPr>
                  <w:rFonts w:hint="eastAsia" w:ascii="方正黑体_GBK" w:hAnsi="方正黑体_GBK" w:eastAsia="方正黑体_GBK" w:cs="方正黑体_GBK"/>
                </w:rPr>
                <w:t>一、基本情况</w:t>
              </w:r>
            </w:sdtContent>
          </w:sdt>
          <w:r>
            <w:tab/>
          </w:r>
          <w:bookmarkStart w:id="6" w:name="_Toc18734_WPSOffice_Level1Page"/>
          <w:r>
            <w:t>1</w:t>
          </w:r>
          <w:bookmarkEnd w:id="6"/>
          <w:r>
            <w:fldChar w:fldCharType="end"/>
          </w:r>
        </w:p>
        <w:p>
          <w:pPr>
            <w:pStyle w:val="39"/>
            <w:tabs>
              <w:tab w:val="right" w:leader="dot" w:pos="8844"/>
            </w:tabs>
          </w:pPr>
          <w:r>
            <w:fldChar w:fldCharType="begin"/>
          </w:r>
          <w:r>
            <w:instrText xml:space="preserve"> HYPERLINK \l _Toc3180_WPSOffice_Level2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d4fc3e50-d810-477c-b95f-77430fb1b8e8}"/>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（一）项目概况</w:t>
              </w:r>
            </w:sdtContent>
          </w:sdt>
          <w:r>
            <w:tab/>
          </w:r>
          <w:bookmarkStart w:id="7" w:name="_Toc3180_WPSOffice_Level2Page"/>
          <w:r>
            <w:t>1</w:t>
          </w:r>
          <w:bookmarkEnd w:id="7"/>
          <w:r>
            <w:fldChar w:fldCharType="end"/>
          </w:r>
        </w:p>
        <w:p>
          <w:pPr>
            <w:pStyle w:val="40"/>
            <w:tabs>
              <w:tab w:val="right" w:leader="dot" w:pos="8844"/>
            </w:tabs>
          </w:pPr>
          <w:r>
            <w:fldChar w:fldCharType="begin"/>
          </w:r>
          <w:r>
            <w:instrText xml:space="preserve"> HYPERLINK \l _Toc3180_WPSOffice_Level3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f542f410-2143-4d46-acd7-12b6f3b54e50}"/>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1.项目背景</w:t>
              </w:r>
            </w:sdtContent>
          </w:sdt>
          <w:r>
            <w:tab/>
          </w:r>
          <w:bookmarkStart w:id="8" w:name="_Toc3180_WPSOffice_Level3Page"/>
          <w:r>
            <w:t>1</w:t>
          </w:r>
          <w:bookmarkEnd w:id="8"/>
          <w:r>
            <w:fldChar w:fldCharType="end"/>
          </w:r>
        </w:p>
        <w:p>
          <w:pPr>
            <w:pStyle w:val="40"/>
            <w:tabs>
              <w:tab w:val="right" w:leader="dot" w:pos="8844"/>
            </w:tabs>
          </w:pPr>
          <w:r>
            <w:fldChar w:fldCharType="begin"/>
          </w:r>
          <w:r>
            <w:instrText xml:space="preserve"> HYPERLINK \l _Toc18734_WPSOffice_Level3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ffabf788-0cb4-491c-8c2b-542b6dfc5ab3}"/>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2.项目实施主体</w:t>
              </w:r>
            </w:sdtContent>
          </w:sdt>
          <w:r>
            <w:tab/>
          </w:r>
          <w:bookmarkStart w:id="9" w:name="_Toc18734_WPSOffice_Level3Page"/>
          <w:r>
            <w:t>2</w:t>
          </w:r>
          <w:bookmarkEnd w:id="9"/>
          <w:r>
            <w:fldChar w:fldCharType="end"/>
          </w:r>
        </w:p>
        <w:p>
          <w:pPr>
            <w:pStyle w:val="40"/>
            <w:tabs>
              <w:tab w:val="right" w:leader="dot" w:pos="8844"/>
            </w:tabs>
          </w:pPr>
          <w:r>
            <w:fldChar w:fldCharType="begin"/>
          </w:r>
          <w:r>
            <w:instrText xml:space="preserve"> HYPERLINK \l _Toc14327_WPSOffice_Level3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e916c401-c904-4dd2-9f65-029ed136ed94}"/>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3.主要内容及实施情况</w:t>
              </w:r>
            </w:sdtContent>
          </w:sdt>
          <w:r>
            <w:tab/>
          </w:r>
          <w:bookmarkStart w:id="10" w:name="_Toc14327_WPSOffice_Level3Page"/>
          <w:r>
            <w:t>2</w:t>
          </w:r>
          <w:bookmarkEnd w:id="10"/>
          <w:r>
            <w:fldChar w:fldCharType="end"/>
          </w:r>
        </w:p>
        <w:p>
          <w:pPr>
            <w:pStyle w:val="40"/>
            <w:tabs>
              <w:tab w:val="right" w:leader="dot" w:pos="8844"/>
            </w:tabs>
          </w:pPr>
          <w:r>
            <w:fldChar w:fldCharType="begin"/>
          </w:r>
          <w:r>
            <w:instrText xml:space="preserve"> HYPERLINK \l _Toc10081_WPSOffice_Level3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5f594a1c-11e6-45f0-b637-88e626332fbd}"/>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4.资金投入和使用情况</w:t>
              </w:r>
            </w:sdtContent>
          </w:sdt>
          <w:r>
            <w:tab/>
          </w:r>
          <w:bookmarkStart w:id="11" w:name="_Toc10081_WPSOffice_Level3Page"/>
          <w:r>
            <w:t>3</w:t>
          </w:r>
          <w:bookmarkEnd w:id="11"/>
          <w:r>
            <w:fldChar w:fldCharType="end"/>
          </w:r>
        </w:p>
        <w:p>
          <w:pPr>
            <w:pStyle w:val="40"/>
            <w:tabs>
              <w:tab w:val="right" w:leader="dot" w:pos="8844"/>
            </w:tabs>
          </w:pPr>
          <w:r>
            <w:fldChar w:fldCharType="begin"/>
          </w:r>
          <w:r>
            <w:instrText xml:space="preserve"> HYPERLINK \l _Toc25856_WPSOffice_Level3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3ae82769-382e-457b-be2b-35ae6b90e5af}"/>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5.项目组织及管理情况</w:t>
              </w:r>
            </w:sdtContent>
          </w:sdt>
          <w:r>
            <w:tab/>
          </w:r>
          <w:bookmarkStart w:id="12" w:name="_Toc25856_WPSOffice_Level3Page"/>
          <w:r>
            <w:t>3</w:t>
          </w:r>
          <w:bookmarkEnd w:id="12"/>
          <w:r>
            <w:fldChar w:fldCharType="end"/>
          </w:r>
        </w:p>
        <w:p>
          <w:pPr>
            <w:pStyle w:val="39"/>
            <w:tabs>
              <w:tab w:val="right" w:leader="dot" w:pos="8844"/>
            </w:tabs>
          </w:pPr>
          <w:r>
            <w:fldChar w:fldCharType="begin"/>
          </w:r>
          <w:r>
            <w:instrText xml:space="preserve"> HYPERLINK \l _Toc18734_WPSOffice_Level2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166f3a14-498b-4109-aba8-3919cf7299b2}"/>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（二）项目绩效目标</w:t>
              </w:r>
            </w:sdtContent>
          </w:sdt>
          <w:r>
            <w:tab/>
          </w:r>
          <w:bookmarkStart w:id="13" w:name="_Toc18734_WPSOffice_Level2Page"/>
          <w:r>
            <w:t>5</w:t>
          </w:r>
          <w:bookmarkEnd w:id="13"/>
          <w:r>
            <w:fldChar w:fldCharType="end"/>
          </w:r>
        </w:p>
        <w:p>
          <w:pPr>
            <w:pStyle w:val="40"/>
            <w:tabs>
              <w:tab w:val="right" w:leader="dot" w:pos="8844"/>
            </w:tabs>
          </w:pPr>
          <w:r>
            <w:fldChar w:fldCharType="begin"/>
          </w:r>
          <w:r>
            <w:instrText xml:space="preserve"> HYPERLINK \l _Toc2810_WPSOffice_Level3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4f3f0292-d552-4800-b5e5-f45a4bc06a57}"/>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1.项目绩效总目标</w:t>
              </w:r>
            </w:sdtContent>
          </w:sdt>
          <w:r>
            <w:tab/>
          </w:r>
          <w:bookmarkStart w:id="14" w:name="_Toc2810_WPSOffice_Level3Page"/>
          <w:r>
            <w:t>5</w:t>
          </w:r>
          <w:bookmarkEnd w:id="14"/>
          <w:r>
            <w:fldChar w:fldCharType="end"/>
          </w:r>
        </w:p>
        <w:p>
          <w:pPr>
            <w:pStyle w:val="40"/>
            <w:tabs>
              <w:tab w:val="right" w:leader="dot" w:pos="8844"/>
            </w:tabs>
          </w:pPr>
          <w:r>
            <w:fldChar w:fldCharType="begin"/>
          </w:r>
          <w:r>
            <w:instrText xml:space="preserve"> HYPERLINK \l _Toc13626_WPSOffice_Level3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55aa1196-d122-4cb5-adf2-4e4f1ad4ea51}"/>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2.阶段性目标</w:t>
              </w:r>
            </w:sdtContent>
          </w:sdt>
          <w:r>
            <w:tab/>
          </w:r>
          <w:bookmarkStart w:id="15" w:name="_Toc13626_WPSOffice_Level3Page"/>
          <w:r>
            <w:t>5</w:t>
          </w:r>
          <w:bookmarkEnd w:id="15"/>
          <w:r>
            <w:fldChar w:fldCharType="end"/>
          </w:r>
        </w:p>
        <w:p>
          <w:pPr>
            <w:pStyle w:val="40"/>
            <w:tabs>
              <w:tab w:val="right" w:leader="dot" w:pos="8844"/>
            </w:tabs>
          </w:pPr>
          <w:r>
            <w:fldChar w:fldCharType="begin"/>
          </w:r>
          <w:r>
            <w:instrText xml:space="preserve"> HYPERLINK \l _Toc30690_WPSOffice_Level3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06efa567-d152-467b-9a4e-2e64ca6d3865}"/>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黑体"/>
                </w:rPr>
                <w:t xml:space="preserve">3. </w:t>
              </w:r>
              <w:r>
                <w:rPr>
                  <w:rFonts w:hint="eastAsia" w:ascii="Times New Roman" w:hAnsi="Times New Roman" w:eastAsia="方正仿宋_GBK" w:cs="方正仿宋_GBK"/>
                </w:rPr>
                <w:t>具体绩效目标</w:t>
              </w:r>
            </w:sdtContent>
          </w:sdt>
          <w:r>
            <w:tab/>
          </w:r>
          <w:bookmarkStart w:id="16" w:name="_Toc30690_WPSOffice_Level3Page"/>
          <w:r>
            <w:t>6</w:t>
          </w:r>
          <w:bookmarkEnd w:id="16"/>
          <w:r>
            <w:fldChar w:fldCharType="end"/>
          </w:r>
        </w:p>
        <w:p>
          <w:pPr>
            <w:pStyle w:val="39"/>
            <w:tabs>
              <w:tab w:val="right" w:leader="dot" w:pos="8844"/>
            </w:tabs>
          </w:pPr>
          <w:r>
            <w:fldChar w:fldCharType="begin"/>
          </w:r>
          <w:r>
            <w:instrText xml:space="preserve"> HYPERLINK \l _Toc14327_WPSOffice_Level2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4df8989b-20af-439f-927f-ab6854233697}"/>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城东金融贸易区市政维修安装、绿化养护项目2022年度</w:t>
              </w:r>
              <w:sdt>
                <w:sdtPr>
                  <w:rPr>
                    <w:rFonts w:ascii="方正仿宋_GBK" w:hAnsi="方正仿宋_GBK" w:eastAsia="方正黑体_GBK" w:cs="黑体"/>
                    <w:b/>
                    <w:kern w:val="44"/>
                    <w:sz w:val="32"/>
                    <w:szCs w:val="22"/>
                    <w:lang w:val="en-US" w:eastAsia="zh-CN" w:bidi="ar-SA"/>
                  </w:rPr>
                  <w:id w:val="147468360"/>
                  <w:placeholder>
                    <w:docPart w:val="{28c1ea03-77b0-4100-9ee5-ef16a79f4375}"/>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绩效目标表</w:t>
                  </w:r>
                </w:sdtContent>
              </w:sdt>
            </w:sdtContent>
          </w:sdt>
          <w:r>
            <w:tab/>
          </w:r>
          <w:bookmarkStart w:id="17" w:name="_Toc14327_WPSOffice_Level2Page"/>
          <w:r>
            <w:t>6</w:t>
          </w:r>
          <w:bookmarkEnd w:id="17"/>
          <w:r>
            <w:fldChar w:fldCharType="end"/>
          </w:r>
        </w:p>
        <w:p>
          <w:pPr>
            <w:pStyle w:val="38"/>
            <w:tabs>
              <w:tab w:val="right" w:leader="dot" w:pos="8844"/>
            </w:tabs>
          </w:pPr>
          <w:r>
            <w:fldChar w:fldCharType="begin"/>
          </w:r>
          <w:r>
            <w:instrText xml:space="preserve"> HYPERLINK \l _Toc14327_WPSOffice_Level1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3e866bdc-19b7-46df-932c-1fa654b04173}"/>
              </w:placeholder>
            </w:sdtPr>
            <w:sdtEndPr>
              <w:rPr>
                <w:rFonts w:ascii="方正仿宋_GBK" w:hAnsi="方正仿宋_GBK" w:eastAsia="方正黑体_GBK" w:cs="黑体"/>
                <w:b/>
                <w:kern w:val="44"/>
                <w:sz w:val="32"/>
                <w:szCs w:val="22"/>
                <w:lang w:val="en-US" w:eastAsia="zh-CN" w:bidi="ar-SA"/>
              </w:rPr>
            </w:sdtEndPr>
            <w:sdtContent>
              <w:r>
                <w:rPr>
                  <w:rFonts w:hint="eastAsia" w:ascii="方正黑体_GBK" w:hAnsi="方正黑体_GBK" w:eastAsia="方正黑体_GBK" w:cs="方正黑体_GBK"/>
                </w:rPr>
                <w:t>二、绩效评价工作开展情况</w:t>
              </w:r>
            </w:sdtContent>
          </w:sdt>
          <w:r>
            <w:tab/>
          </w:r>
          <w:bookmarkStart w:id="18" w:name="_Toc14327_WPSOffice_Level1Page"/>
          <w:r>
            <w:t>7</w:t>
          </w:r>
          <w:bookmarkEnd w:id="18"/>
          <w:r>
            <w:fldChar w:fldCharType="end"/>
          </w:r>
        </w:p>
        <w:p>
          <w:pPr>
            <w:pStyle w:val="39"/>
            <w:tabs>
              <w:tab w:val="right" w:leader="dot" w:pos="8844"/>
            </w:tabs>
          </w:pPr>
          <w:r>
            <w:fldChar w:fldCharType="begin"/>
          </w:r>
          <w:r>
            <w:instrText xml:space="preserve"> HYPERLINK \l _Toc25856_WPSOffice_Level2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8ef54ac9-2739-4f15-b039-3c8edab664c4}"/>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（一）绩效评价目的、对象和范围</w:t>
              </w:r>
            </w:sdtContent>
          </w:sdt>
          <w:r>
            <w:tab/>
          </w:r>
          <w:bookmarkStart w:id="19" w:name="_Toc25856_WPSOffice_Level2Page"/>
          <w:r>
            <w:t>7</w:t>
          </w:r>
          <w:bookmarkEnd w:id="19"/>
          <w:r>
            <w:fldChar w:fldCharType="end"/>
          </w:r>
        </w:p>
        <w:p>
          <w:pPr>
            <w:pStyle w:val="40"/>
            <w:tabs>
              <w:tab w:val="right" w:leader="dot" w:pos="8844"/>
            </w:tabs>
          </w:pPr>
          <w:r>
            <w:fldChar w:fldCharType="begin"/>
          </w:r>
          <w:r>
            <w:instrText xml:space="preserve"> HYPERLINK \l _Toc27103_WPSOffice_Level3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ac2f1e53-733f-400f-b1b0-5883c934cd63}"/>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1.绩效评价目的</w:t>
              </w:r>
            </w:sdtContent>
          </w:sdt>
          <w:r>
            <w:tab/>
          </w:r>
          <w:bookmarkStart w:id="20" w:name="_Toc27103_WPSOffice_Level3Page"/>
          <w:r>
            <w:t>7</w:t>
          </w:r>
          <w:bookmarkEnd w:id="20"/>
          <w:r>
            <w:fldChar w:fldCharType="end"/>
          </w:r>
        </w:p>
        <w:p>
          <w:pPr>
            <w:pStyle w:val="40"/>
            <w:tabs>
              <w:tab w:val="right" w:leader="dot" w:pos="8844"/>
            </w:tabs>
          </w:pPr>
          <w:r>
            <w:fldChar w:fldCharType="begin"/>
          </w:r>
          <w:r>
            <w:instrText xml:space="preserve"> HYPERLINK \l _Toc11136_WPSOffice_Level3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5983758b-60e7-47b2-8587-b9034c53d664}"/>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2.绩效评价对象</w:t>
              </w:r>
            </w:sdtContent>
          </w:sdt>
          <w:r>
            <w:tab/>
          </w:r>
          <w:bookmarkStart w:id="21" w:name="_Toc11136_WPSOffice_Level3Page"/>
          <w:r>
            <w:t>7</w:t>
          </w:r>
          <w:bookmarkEnd w:id="21"/>
          <w:r>
            <w:fldChar w:fldCharType="end"/>
          </w:r>
        </w:p>
        <w:p>
          <w:pPr>
            <w:pStyle w:val="40"/>
            <w:tabs>
              <w:tab w:val="right" w:leader="dot" w:pos="8844"/>
            </w:tabs>
          </w:pPr>
          <w:r>
            <w:fldChar w:fldCharType="begin"/>
          </w:r>
          <w:r>
            <w:instrText xml:space="preserve"> HYPERLINK \l _Toc3971_WPSOffice_Level3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c5aaee5c-469c-4da5-af17-c1dc9d011318}"/>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3.绩效评价范围</w:t>
              </w:r>
            </w:sdtContent>
          </w:sdt>
          <w:r>
            <w:tab/>
          </w:r>
          <w:bookmarkStart w:id="22" w:name="_Toc3971_WPSOffice_Level3Page"/>
          <w:r>
            <w:t>8</w:t>
          </w:r>
          <w:bookmarkEnd w:id="22"/>
          <w:r>
            <w:fldChar w:fldCharType="end"/>
          </w:r>
        </w:p>
        <w:p>
          <w:pPr>
            <w:pStyle w:val="39"/>
            <w:tabs>
              <w:tab w:val="right" w:leader="dot" w:pos="8844"/>
            </w:tabs>
          </w:pPr>
          <w:r>
            <w:fldChar w:fldCharType="begin"/>
          </w:r>
          <w:r>
            <w:instrText xml:space="preserve"> HYPERLINK \l _Toc2810_WPSOffice_Level2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cb85bae8-fd42-4454-b086-4b1369cd7ba3}"/>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（二）绩效评价原则、评价指标体系、评价方法、评价标准</w:t>
              </w:r>
            </w:sdtContent>
          </w:sdt>
          <w:r>
            <w:tab/>
          </w:r>
          <w:bookmarkStart w:id="23" w:name="_Toc2810_WPSOffice_Level2Page"/>
          <w:r>
            <w:t>8</w:t>
          </w:r>
          <w:bookmarkEnd w:id="23"/>
          <w:r>
            <w:fldChar w:fldCharType="end"/>
          </w:r>
        </w:p>
        <w:p>
          <w:pPr>
            <w:pStyle w:val="40"/>
            <w:tabs>
              <w:tab w:val="right" w:leader="dot" w:pos="8844"/>
            </w:tabs>
          </w:pPr>
          <w:r>
            <w:fldChar w:fldCharType="begin"/>
          </w:r>
          <w:r>
            <w:instrText xml:space="preserve"> HYPERLINK \l _Toc22965_WPSOffice_Level3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3457d7b0-e9d8-4811-829e-8cd5fa66665f}"/>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1.绩效评价原则</w:t>
              </w:r>
            </w:sdtContent>
          </w:sdt>
          <w:r>
            <w:tab/>
          </w:r>
          <w:bookmarkStart w:id="24" w:name="_Toc22965_WPSOffice_Level3Page"/>
          <w:r>
            <w:t>8</w:t>
          </w:r>
          <w:bookmarkEnd w:id="24"/>
          <w:r>
            <w:fldChar w:fldCharType="end"/>
          </w:r>
        </w:p>
        <w:p>
          <w:pPr>
            <w:pStyle w:val="40"/>
            <w:tabs>
              <w:tab w:val="right" w:leader="dot" w:pos="8844"/>
            </w:tabs>
          </w:pPr>
          <w:r>
            <w:fldChar w:fldCharType="begin"/>
          </w:r>
          <w:r>
            <w:instrText xml:space="preserve"> HYPERLINK \l _Toc1441_WPSOffice_Level3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8f5f1a99-0da6-4d5f-92c1-439ecc486d89}"/>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2.评价指标体系</w:t>
              </w:r>
            </w:sdtContent>
          </w:sdt>
          <w:r>
            <w:tab/>
          </w:r>
          <w:bookmarkStart w:id="25" w:name="_Toc1441_WPSOffice_Level3Page"/>
          <w:r>
            <w:t>9</w:t>
          </w:r>
          <w:bookmarkEnd w:id="25"/>
          <w:r>
            <w:fldChar w:fldCharType="end"/>
          </w:r>
        </w:p>
        <w:p>
          <w:pPr>
            <w:pStyle w:val="40"/>
            <w:tabs>
              <w:tab w:val="right" w:leader="dot" w:pos="8844"/>
            </w:tabs>
          </w:pPr>
          <w:r>
            <w:fldChar w:fldCharType="begin"/>
          </w:r>
          <w:r>
            <w:instrText xml:space="preserve"> HYPERLINK \l _Toc23237_WPSOffice_Level3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2d43c267-f663-40c7-8ee6-4540394f3e44}"/>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3.绩效评价方法</w:t>
              </w:r>
            </w:sdtContent>
          </w:sdt>
          <w:r>
            <w:tab/>
          </w:r>
          <w:bookmarkStart w:id="26" w:name="_Toc23237_WPSOffice_Level3Page"/>
          <w:r>
            <w:t>11</w:t>
          </w:r>
          <w:bookmarkEnd w:id="26"/>
          <w:r>
            <w:fldChar w:fldCharType="end"/>
          </w:r>
        </w:p>
        <w:p>
          <w:pPr>
            <w:pStyle w:val="40"/>
            <w:tabs>
              <w:tab w:val="right" w:leader="dot" w:pos="8844"/>
            </w:tabs>
          </w:pPr>
          <w:r>
            <w:fldChar w:fldCharType="begin"/>
          </w:r>
          <w:r>
            <w:instrText xml:space="preserve"> HYPERLINK \l _Toc10071_WPSOffice_Level3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d0a24fe7-9d29-456c-bc4a-db95222368cb}"/>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4.评价标准</w:t>
              </w:r>
            </w:sdtContent>
          </w:sdt>
          <w:r>
            <w:tab/>
          </w:r>
          <w:bookmarkStart w:id="27" w:name="_Toc10071_WPSOffice_Level3Page"/>
          <w:r>
            <w:t>12</w:t>
          </w:r>
          <w:bookmarkEnd w:id="27"/>
          <w:r>
            <w:fldChar w:fldCharType="end"/>
          </w:r>
        </w:p>
        <w:p>
          <w:pPr>
            <w:pStyle w:val="39"/>
            <w:tabs>
              <w:tab w:val="right" w:leader="dot" w:pos="8844"/>
            </w:tabs>
          </w:pPr>
          <w:r>
            <w:fldChar w:fldCharType="begin"/>
          </w:r>
          <w:r>
            <w:instrText xml:space="preserve"> HYPERLINK \l _Toc13626_WPSOffice_Level2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fa55dc60-0405-4214-8342-0bc925e1eb03}"/>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（三）绩效评价工作过程</w:t>
              </w:r>
            </w:sdtContent>
          </w:sdt>
          <w:r>
            <w:tab/>
          </w:r>
          <w:bookmarkStart w:id="28" w:name="_Toc13626_WPSOffice_Level2Page"/>
          <w:r>
            <w:t>12</w:t>
          </w:r>
          <w:bookmarkEnd w:id="28"/>
          <w:r>
            <w:fldChar w:fldCharType="end"/>
          </w:r>
        </w:p>
        <w:p>
          <w:pPr>
            <w:pStyle w:val="39"/>
            <w:tabs>
              <w:tab w:val="right" w:leader="dot" w:pos="8844"/>
            </w:tabs>
          </w:pPr>
          <w:r>
            <w:fldChar w:fldCharType="begin"/>
          </w:r>
          <w:r>
            <w:instrText xml:space="preserve"> HYPERLINK \l _Toc30690_WPSOffice_Level2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e043542c-88ef-4b0e-91d1-b6bd1ad25156}"/>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第一阶段：前期准备</w:t>
              </w:r>
              <w:r>
                <w:rPr>
                  <w:rFonts w:hint="default" w:ascii="Times New Roman" w:hAnsi="Times New Roman" w:eastAsia="方正仿宋_GBK" w:cs="Times New Roman"/>
                </w:rPr>
                <w:t>（2023年6月10日-2023年6月15日）</w:t>
              </w:r>
            </w:sdtContent>
          </w:sdt>
          <w:r>
            <w:tab/>
          </w:r>
          <w:bookmarkStart w:id="29" w:name="_Toc30690_WPSOffice_Level2Page"/>
          <w:r>
            <w:t>12</w:t>
          </w:r>
          <w:bookmarkEnd w:id="29"/>
          <w:r>
            <w:fldChar w:fldCharType="end"/>
          </w:r>
        </w:p>
        <w:p>
          <w:pPr>
            <w:pStyle w:val="40"/>
            <w:tabs>
              <w:tab w:val="right" w:leader="dot" w:pos="8844"/>
            </w:tabs>
          </w:pPr>
          <w:r>
            <w:fldChar w:fldCharType="begin"/>
          </w:r>
          <w:r>
            <w:instrText xml:space="preserve"> HYPERLINK \l _Toc6550_WPSOffice_Level3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e15ee464-d978-41ce-8888-29b9356a25b1}"/>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（1）原始资料查阅</w:t>
              </w:r>
            </w:sdtContent>
          </w:sdt>
          <w:r>
            <w:tab/>
          </w:r>
          <w:bookmarkStart w:id="30" w:name="_Toc6550_WPSOffice_Level3Page"/>
          <w:r>
            <w:t>13</w:t>
          </w:r>
          <w:bookmarkEnd w:id="30"/>
          <w:r>
            <w:fldChar w:fldCharType="end"/>
          </w:r>
        </w:p>
        <w:p>
          <w:pPr>
            <w:pStyle w:val="40"/>
            <w:tabs>
              <w:tab w:val="right" w:leader="dot" w:pos="8844"/>
            </w:tabs>
          </w:pPr>
          <w:r>
            <w:fldChar w:fldCharType="begin"/>
          </w:r>
          <w:r>
            <w:instrText xml:space="preserve"> HYPERLINK \l _Toc18216_WPSOffice_Level3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57e986cc-9612-4655-b04d-ac6894772fa5}"/>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（2）确定评价思路和方法</w:t>
              </w:r>
            </w:sdtContent>
          </w:sdt>
          <w:r>
            <w:tab/>
          </w:r>
          <w:bookmarkStart w:id="31" w:name="_Toc18216_WPSOffice_Level3Page"/>
          <w:r>
            <w:t>13</w:t>
          </w:r>
          <w:bookmarkEnd w:id="31"/>
          <w:r>
            <w:fldChar w:fldCharType="end"/>
          </w:r>
        </w:p>
        <w:p>
          <w:pPr>
            <w:pStyle w:val="39"/>
            <w:tabs>
              <w:tab w:val="right" w:leader="dot" w:pos="8844"/>
            </w:tabs>
          </w:pPr>
          <w:r>
            <w:fldChar w:fldCharType="begin"/>
          </w:r>
          <w:r>
            <w:instrText xml:space="preserve"> HYPERLINK \l _Toc27103_WPSOffice_Level2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ef20fa3a-7c18-4dc5-82d9-44ed80fb74c1}"/>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第二阶段：组织实施</w:t>
              </w:r>
              <w:r>
                <w:rPr>
                  <w:rFonts w:hint="default" w:ascii="Times New Roman" w:hAnsi="Times New Roman" w:eastAsia="方正仿宋_GBK" w:cs="Times New Roman"/>
                </w:rPr>
                <w:t>（2023年6月16日-2023年6月25日）</w:t>
              </w:r>
            </w:sdtContent>
          </w:sdt>
          <w:r>
            <w:tab/>
          </w:r>
          <w:bookmarkStart w:id="32" w:name="_Toc27103_WPSOffice_Level2Page"/>
          <w:r>
            <w:t>13</w:t>
          </w:r>
          <w:bookmarkEnd w:id="32"/>
          <w:r>
            <w:fldChar w:fldCharType="end"/>
          </w:r>
        </w:p>
        <w:p>
          <w:pPr>
            <w:pStyle w:val="40"/>
            <w:tabs>
              <w:tab w:val="right" w:leader="dot" w:pos="8844"/>
            </w:tabs>
          </w:pPr>
          <w:r>
            <w:fldChar w:fldCharType="begin"/>
          </w:r>
          <w:r>
            <w:instrText xml:space="preserve"> HYPERLINK \l _Toc19697_WPSOffice_Level3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ca1ebdaa-710a-4558-bdc8-be845be70c4e}"/>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（1）采集评价基础数据及相关资料</w:t>
              </w:r>
            </w:sdtContent>
          </w:sdt>
          <w:r>
            <w:tab/>
          </w:r>
          <w:bookmarkStart w:id="33" w:name="_Toc19697_WPSOffice_Level3Page"/>
          <w:r>
            <w:t>13</w:t>
          </w:r>
          <w:bookmarkEnd w:id="33"/>
          <w:r>
            <w:fldChar w:fldCharType="end"/>
          </w:r>
        </w:p>
        <w:p>
          <w:pPr>
            <w:pStyle w:val="40"/>
            <w:tabs>
              <w:tab w:val="right" w:leader="dot" w:pos="8844"/>
            </w:tabs>
          </w:pPr>
          <w:r>
            <w:fldChar w:fldCharType="begin"/>
          </w:r>
          <w:r>
            <w:instrText xml:space="preserve"> HYPERLINK \l _Toc32200_WPSOffice_Level3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87c836ad-2c1d-46f8-9913-26d2aa38e809}"/>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（2）实地调研</w:t>
              </w:r>
            </w:sdtContent>
          </w:sdt>
          <w:r>
            <w:tab/>
          </w:r>
          <w:bookmarkStart w:id="34" w:name="_Toc32200_WPSOffice_Level3Page"/>
          <w:r>
            <w:t>13</w:t>
          </w:r>
          <w:bookmarkEnd w:id="34"/>
          <w:r>
            <w:fldChar w:fldCharType="end"/>
          </w:r>
        </w:p>
        <w:p>
          <w:pPr>
            <w:pStyle w:val="39"/>
            <w:tabs>
              <w:tab w:val="right" w:leader="dot" w:pos="8844"/>
            </w:tabs>
          </w:pPr>
          <w:r>
            <w:fldChar w:fldCharType="begin"/>
          </w:r>
          <w:r>
            <w:instrText xml:space="preserve"> HYPERLINK \l _Toc11136_WPSOffice_Level2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9a396eed-31d8-4527-a654-3d5bb6db60ac}"/>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第三阶段：分析评价</w:t>
              </w:r>
              <w:r>
                <w:rPr>
                  <w:rFonts w:hint="default" w:ascii="Times New Roman" w:hAnsi="Times New Roman" w:eastAsia="方正仿宋_GBK" w:cs="Times New Roman"/>
                </w:rPr>
                <w:t>（2023年6月21日-2023年7月10日）</w:t>
              </w:r>
            </w:sdtContent>
          </w:sdt>
          <w:r>
            <w:tab/>
          </w:r>
          <w:bookmarkStart w:id="35" w:name="_Toc11136_WPSOffice_Level2Page"/>
          <w:r>
            <w:t>14</w:t>
          </w:r>
          <w:bookmarkEnd w:id="35"/>
          <w:r>
            <w:fldChar w:fldCharType="end"/>
          </w:r>
        </w:p>
        <w:p>
          <w:pPr>
            <w:pStyle w:val="39"/>
            <w:tabs>
              <w:tab w:val="right" w:leader="dot" w:pos="8844"/>
            </w:tabs>
          </w:pPr>
          <w:r>
            <w:fldChar w:fldCharType="begin"/>
          </w:r>
          <w:r>
            <w:instrText xml:space="preserve"> HYPERLINK \l _Toc3971_WPSOffice_Level2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59e980c5-d167-4f5f-a8c9-75449a414934}"/>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第四阶段：撰写报告</w:t>
              </w:r>
              <w:r>
                <w:rPr>
                  <w:rFonts w:hint="default" w:ascii="Times New Roman" w:hAnsi="Times New Roman" w:eastAsia="方正仿宋_GBK" w:cs="Times New Roman"/>
                </w:rPr>
                <w:t>（2023年7月11日-2023年7月18日）</w:t>
              </w:r>
            </w:sdtContent>
          </w:sdt>
          <w:r>
            <w:tab/>
          </w:r>
          <w:bookmarkStart w:id="36" w:name="_Toc3971_WPSOffice_Level2Page"/>
          <w:r>
            <w:t>14</w:t>
          </w:r>
          <w:bookmarkEnd w:id="36"/>
          <w:r>
            <w:fldChar w:fldCharType="end"/>
          </w:r>
        </w:p>
        <w:p>
          <w:pPr>
            <w:pStyle w:val="39"/>
            <w:tabs>
              <w:tab w:val="right" w:leader="dot" w:pos="8844"/>
            </w:tabs>
          </w:pPr>
          <w:r>
            <w:fldChar w:fldCharType="begin"/>
          </w:r>
          <w:r>
            <w:instrText xml:space="preserve"> HYPERLINK \l _Toc22965_WPSOffice_Level2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d19e14ba-d1a3-49c5-abc8-b29308e1155e}"/>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第五阶段：会审完善</w:t>
              </w:r>
              <w:r>
                <w:rPr>
                  <w:rFonts w:hint="default" w:ascii="Times New Roman" w:hAnsi="Times New Roman" w:eastAsia="方正仿宋_GBK" w:cs="Times New Roman"/>
                </w:rPr>
                <w:t>（2023年7月19日-2023年7月28日）</w:t>
              </w:r>
            </w:sdtContent>
          </w:sdt>
          <w:r>
            <w:tab/>
          </w:r>
          <w:bookmarkStart w:id="37" w:name="_Toc22965_WPSOffice_Level2Page"/>
          <w:r>
            <w:t>14</w:t>
          </w:r>
          <w:bookmarkEnd w:id="37"/>
          <w:r>
            <w:fldChar w:fldCharType="end"/>
          </w:r>
        </w:p>
        <w:p>
          <w:pPr>
            <w:pStyle w:val="39"/>
            <w:tabs>
              <w:tab w:val="right" w:leader="dot" w:pos="8844"/>
            </w:tabs>
          </w:pPr>
          <w:r>
            <w:fldChar w:fldCharType="begin"/>
          </w:r>
          <w:r>
            <w:instrText xml:space="preserve"> HYPERLINK \l _Toc1441_WPSOffice_Level2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2bb58b5b-e962-4120-93b6-ba9ab036f04c}"/>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第六阶段：归集档案</w:t>
              </w:r>
              <w:r>
                <w:rPr>
                  <w:rFonts w:hint="default" w:ascii="Times New Roman" w:hAnsi="Times New Roman" w:eastAsia="方正仿宋_GBK" w:cs="Times New Roman"/>
                </w:rPr>
                <w:t>（2023年7月28日）</w:t>
              </w:r>
            </w:sdtContent>
          </w:sdt>
          <w:r>
            <w:tab/>
          </w:r>
          <w:bookmarkStart w:id="38" w:name="_Toc1441_WPSOffice_Level2Page"/>
          <w:r>
            <w:t>14</w:t>
          </w:r>
          <w:bookmarkEnd w:id="38"/>
          <w:r>
            <w:fldChar w:fldCharType="end"/>
          </w:r>
        </w:p>
        <w:p>
          <w:pPr>
            <w:pStyle w:val="38"/>
            <w:tabs>
              <w:tab w:val="right" w:leader="dot" w:pos="8844"/>
            </w:tabs>
          </w:pPr>
          <w:r>
            <w:fldChar w:fldCharType="begin"/>
          </w:r>
          <w:r>
            <w:instrText xml:space="preserve"> HYPERLINK \l _Toc10081_WPSOffice_Level1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c2e5bf02-ae2e-47da-b2e4-82d241e15121}"/>
              </w:placeholder>
            </w:sdtPr>
            <w:sdtEndPr>
              <w:rPr>
                <w:rFonts w:ascii="方正仿宋_GBK" w:hAnsi="方正仿宋_GBK" w:eastAsia="方正黑体_GBK" w:cs="黑体"/>
                <w:b/>
                <w:kern w:val="44"/>
                <w:sz w:val="32"/>
                <w:szCs w:val="22"/>
                <w:lang w:val="en-US" w:eastAsia="zh-CN" w:bidi="ar-SA"/>
              </w:rPr>
            </w:sdtEndPr>
            <w:sdtContent>
              <w:r>
                <w:rPr>
                  <w:rFonts w:hint="eastAsia" w:ascii="方正黑体_GBK" w:hAnsi="方正黑体_GBK" w:eastAsia="方正黑体_GBK" w:cs="方正黑体_GBK"/>
                </w:rPr>
                <w:t>三、综合评价情况及评价结论</w:t>
              </w:r>
            </w:sdtContent>
          </w:sdt>
          <w:r>
            <w:tab/>
          </w:r>
          <w:bookmarkStart w:id="39" w:name="_Toc10081_WPSOffice_Level1Page"/>
          <w:r>
            <w:t>15</w:t>
          </w:r>
          <w:bookmarkEnd w:id="39"/>
          <w:r>
            <w:fldChar w:fldCharType="end"/>
          </w:r>
        </w:p>
        <w:p>
          <w:pPr>
            <w:pStyle w:val="39"/>
            <w:tabs>
              <w:tab w:val="right" w:leader="dot" w:pos="8844"/>
            </w:tabs>
          </w:pPr>
          <w:r>
            <w:fldChar w:fldCharType="begin"/>
          </w:r>
          <w:r>
            <w:instrText xml:space="preserve"> HYPERLINK \l _Toc23237_WPSOffice_Level2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927f2106-9095-43f9-88c5-09b114e41b4c}"/>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(一) 综合评价情况</w:t>
              </w:r>
            </w:sdtContent>
          </w:sdt>
          <w:r>
            <w:tab/>
          </w:r>
          <w:bookmarkStart w:id="40" w:name="_Toc23237_WPSOffice_Level2Page"/>
          <w:r>
            <w:t>15</w:t>
          </w:r>
          <w:bookmarkEnd w:id="40"/>
          <w:r>
            <w:fldChar w:fldCharType="end"/>
          </w:r>
        </w:p>
        <w:p>
          <w:pPr>
            <w:pStyle w:val="39"/>
            <w:tabs>
              <w:tab w:val="right" w:leader="dot" w:pos="8844"/>
            </w:tabs>
          </w:pPr>
          <w:r>
            <w:fldChar w:fldCharType="begin"/>
          </w:r>
          <w:r>
            <w:instrText xml:space="preserve"> HYPERLINK \l _Toc10071_WPSOffice_Level2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348597a7-5380-4dce-88d4-2a49169ac856}"/>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(二) 综合评价结论</w:t>
              </w:r>
            </w:sdtContent>
          </w:sdt>
          <w:r>
            <w:tab/>
          </w:r>
          <w:bookmarkStart w:id="41" w:name="_Toc10071_WPSOffice_Level2Page"/>
          <w:r>
            <w:t>15</w:t>
          </w:r>
          <w:bookmarkEnd w:id="41"/>
          <w:r>
            <w:fldChar w:fldCharType="end"/>
          </w:r>
        </w:p>
        <w:p>
          <w:pPr>
            <w:pStyle w:val="38"/>
            <w:tabs>
              <w:tab w:val="right" w:leader="dot" w:pos="8844"/>
            </w:tabs>
          </w:pPr>
          <w:r>
            <w:fldChar w:fldCharType="begin"/>
          </w:r>
          <w:r>
            <w:instrText xml:space="preserve"> HYPERLINK \l _Toc25856_WPSOffice_Level1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7de2ad16-d573-425f-92e6-049d06b41311}"/>
              </w:placeholder>
            </w:sdtPr>
            <w:sdtEndPr>
              <w:rPr>
                <w:rFonts w:ascii="方正仿宋_GBK" w:hAnsi="方正仿宋_GBK" w:eastAsia="方正黑体_GBK" w:cs="黑体"/>
                <w:b/>
                <w:kern w:val="44"/>
                <w:sz w:val="32"/>
                <w:szCs w:val="22"/>
                <w:lang w:val="en-US" w:eastAsia="zh-CN" w:bidi="ar-SA"/>
              </w:rPr>
            </w:sdtEndPr>
            <w:sdtContent>
              <w:r>
                <w:rPr>
                  <w:rFonts w:hint="eastAsia" w:ascii="方正黑体_GBK" w:hAnsi="方正黑体_GBK" w:eastAsia="方正黑体_GBK" w:cs="方正黑体_GBK"/>
                </w:rPr>
                <w:t>四、绩效评价指标分析</w:t>
              </w:r>
            </w:sdtContent>
          </w:sdt>
          <w:r>
            <w:tab/>
          </w:r>
          <w:bookmarkStart w:id="42" w:name="_Toc25856_WPSOffice_Level1Page"/>
          <w:r>
            <w:t>16</w:t>
          </w:r>
          <w:bookmarkEnd w:id="42"/>
          <w:r>
            <w:fldChar w:fldCharType="end"/>
          </w:r>
        </w:p>
        <w:p>
          <w:pPr>
            <w:pStyle w:val="39"/>
            <w:tabs>
              <w:tab w:val="right" w:leader="dot" w:pos="8844"/>
            </w:tabs>
          </w:pPr>
          <w:r>
            <w:fldChar w:fldCharType="begin"/>
          </w:r>
          <w:r>
            <w:instrText xml:space="preserve"> HYPERLINK \l _Toc6550_WPSOffice_Level2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de3b0203-3728-4919-8b34-908b8d5875e0}"/>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（一）项目决策情况</w:t>
              </w:r>
            </w:sdtContent>
          </w:sdt>
          <w:r>
            <w:tab/>
          </w:r>
          <w:bookmarkStart w:id="43" w:name="_Toc6550_WPSOffice_Level2Page"/>
          <w:r>
            <w:t>16</w:t>
          </w:r>
          <w:bookmarkEnd w:id="43"/>
          <w:r>
            <w:fldChar w:fldCharType="end"/>
          </w:r>
        </w:p>
        <w:p>
          <w:pPr>
            <w:pStyle w:val="39"/>
            <w:tabs>
              <w:tab w:val="right" w:leader="dot" w:pos="8844"/>
            </w:tabs>
          </w:pPr>
          <w:r>
            <w:fldChar w:fldCharType="begin"/>
          </w:r>
          <w:r>
            <w:instrText xml:space="preserve"> HYPERLINK \l _Toc18216_WPSOffice_Level2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33e3e1e1-4935-442c-adfc-4eaebce4c861}"/>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（二）项目过程情况</w:t>
              </w:r>
            </w:sdtContent>
          </w:sdt>
          <w:r>
            <w:tab/>
          </w:r>
          <w:bookmarkStart w:id="44" w:name="_Toc18216_WPSOffice_Level2Page"/>
          <w:r>
            <w:t>18</w:t>
          </w:r>
          <w:bookmarkEnd w:id="44"/>
          <w:r>
            <w:fldChar w:fldCharType="end"/>
          </w:r>
        </w:p>
        <w:p>
          <w:pPr>
            <w:pStyle w:val="39"/>
            <w:tabs>
              <w:tab w:val="right" w:leader="dot" w:pos="8844"/>
            </w:tabs>
          </w:pPr>
          <w:r>
            <w:fldChar w:fldCharType="begin"/>
          </w:r>
          <w:r>
            <w:instrText xml:space="preserve"> HYPERLINK \l _Toc19697_WPSOffice_Level2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9397db67-6a4b-4853-b2a7-bab3250ae67f}"/>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（三）项目产出情况</w:t>
              </w:r>
            </w:sdtContent>
          </w:sdt>
          <w:r>
            <w:tab/>
          </w:r>
          <w:bookmarkStart w:id="45" w:name="_Toc19697_WPSOffice_Level2Page"/>
          <w:r>
            <w:t>19</w:t>
          </w:r>
          <w:bookmarkEnd w:id="45"/>
          <w:r>
            <w:fldChar w:fldCharType="end"/>
          </w:r>
        </w:p>
        <w:p>
          <w:pPr>
            <w:pStyle w:val="40"/>
            <w:tabs>
              <w:tab w:val="right" w:leader="dot" w:pos="8844"/>
            </w:tabs>
          </w:pPr>
          <w:r>
            <w:fldChar w:fldCharType="begin"/>
          </w:r>
          <w:r>
            <w:instrText xml:space="preserve"> HYPERLINK \l _Toc7071_WPSOffice_Level3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6c7a194f-419b-4262-bc64-e86bd3f4ce8a}"/>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1.对于“产出数量”</w:t>
              </w:r>
            </w:sdtContent>
          </w:sdt>
          <w:r>
            <w:tab/>
          </w:r>
          <w:bookmarkStart w:id="46" w:name="_Toc7071_WPSOffice_Level3Page"/>
          <w:r>
            <w:t>20</w:t>
          </w:r>
          <w:bookmarkEnd w:id="46"/>
          <w:r>
            <w:fldChar w:fldCharType="end"/>
          </w:r>
        </w:p>
        <w:p>
          <w:pPr>
            <w:pStyle w:val="40"/>
            <w:tabs>
              <w:tab w:val="right" w:leader="dot" w:pos="8844"/>
            </w:tabs>
          </w:pPr>
          <w:r>
            <w:fldChar w:fldCharType="begin"/>
          </w:r>
          <w:r>
            <w:instrText xml:space="preserve"> HYPERLINK \l _Toc3124_WPSOffice_Level3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8274d800-4d96-4ca4-b1ec-81a4bd36c086}"/>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2.对于“产出质量”</w:t>
              </w:r>
            </w:sdtContent>
          </w:sdt>
          <w:r>
            <w:tab/>
          </w:r>
          <w:bookmarkStart w:id="47" w:name="_Toc3124_WPSOffice_Level3Page"/>
          <w:r>
            <w:t>21</w:t>
          </w:r>
          <w:bookmarkEnd w:id="47"/>
          <w:r>
            <w:fldChar w:fldCharType="end"/>
          </w:r>
        </w:p>
        <w:p>
          <w:pPr>
            <w:pStyle w:val="40"/>
            <w:tabs>
              <w:tab w:val="right" w:leader="dot" w:pos="8844"/>
            </w:tabs>
          </w:pPr>
          <w:r>
            <w:fldChar w:fldCharType="begin"/>
          </w:r>
          <w:r>
            <w:instrText xml:space="preserve"> HYPERLINK \l _Toc2714_WPSOffice_Level3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228892f3-a109-4d4a-87e8-76c57546f82e}"/>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3.对于“产出时效”</w:t>
              </w:r>
            </w:sdtContent>
          </w:sdt>
          <w:r>
            <w:tab/>
          </w:r>
          <w:bookmarkStart w:id="48" w:name="_Toc2714_WPSOffice_Level3Page"/>
          <w:r>
            <w:t>21</w:t>
          </w:r>
          <w:bookmarkEnd w:id="48"/>
          <w:r>
            <w:fldChar w:fldCharType="end"/>
          </w:r>
        </w:p>
        <w:p>
          <w:pPr>
            <w:pStyle w:val="40"/>
            <w:tabs>
              <w:tab w:val="right" w:leader="dot" w:pos="8844"/>
            </w:tabs>
          </w:pPr>
          <w:r>
            <w:fldChar w:fldCharType="begin"/>
          </w:r>
          <w:r>
            <w:instrText xml:space="preserve"> HYPERLINK \l _Toc21415_WPSOffice_Level3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850a49ba-9122-41c8-a399-0e3081e60738}"/>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4.对于“产出成本”</w:t>
              </w:r>
            </w:sdtContent>
          </w:sdt>
          <w:r>
            <w:tab/>
          </w:r>
          <w:bookmarkStart w:id="49" w:name="_Toc21415_WPSOffice_Level3Page"/>
          <w:r>
            <w:t>21</w:t>
          </w:r>
          <w:bookmarkEnd w:id="49"/>
          <w:r>
            <w:fldChar w:fldCharType="end"/>
          </w:r>
        </w:p>
        <w:p>
          <w:pPr>
            <w:pStyle w:val="39"/>
            <w:tabs>
              <w:tab w:val="right" w:leader="dot" w:pos="8844"/>
            </w:tabs>
          </w:pPr>
          <w:r>
            <w:fldChar w:fldCharType="begin"/>
          </w:r>
          <w:r>
            <w:instrText xml:space="preserve"> HYPERLINK \l _Toc32200_WPSOffice_Level2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5e0cce00-b218-41df-ad53-7083f5e7aff7}"/>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（四）项目效益情况</w:t>
              </w:r>
            </w:sdtContent>
          </w:sdt>
          <w:r>
            <w:tab/>
          </w:r>
          <w:bookmarkStart w:id="50" w:name="_Toc32200_WPSOffice_Level2Page"/>
          <w:r>
            <w:t>22</w:t>
          </w:r>
          <w:bookmarkEnd w:id="50"/>
          <w:r>
            <w:fldChar w:fldCharType="end"/>
          </w:r>
        </w:p>
        <w:p>
          <w:pPr>
            <w:pStyle w:val="40"/>
            <w:tabs>
              <w:tab w:val="right" w:leader="dot" w:pos="8844"/>
            </w:tabs>
          </w:pPr>
          <w:r>
            <w:fldChar w:fldCharType="begin"/>
          </w:r>
          <w:r>
            <w:instrText xml:space="preserve"> HYPERLINK \l _Toc19889_WPSOffice_Level3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3ed33cd0-179f-4ad1-a934-b493f2002c1c}"/>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1.实施效益指标</w:t>
              </w:r>
            </w:sdtContent>
          </w:sdt>
          <w:r>
            <w:tab/>
          </w:r>
          <w:bookmarkStart w:id="51" w:name="_Toc19889_WPSOffice_Level3Page"/>
          <w:r>
            <w:t>22</w:t>
          </w:r>
          <w:bookmarkEnd w:id="51"/>
          <w:r>
            <w:fldChar w:fldCharType="end"/>
          </w:r>
        </w:p>
        <w:p>
          <w:pPr>
            <w:pStyle w:val="40"/>
            <w:tabs>
              <w:tab w:val="right" w:leader="dot" w:pos="8844"/>
            </w:tabs>
          </w:pPr>
          <w:r>
            <w:fldChar w:fldCharType="begin"/>
          </w:r>
          <w:r>
            <w:instrText xml:space="preserve"> HYPERLINK \l _Toc14898_WPSOffice_Level3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7418b145-e1ef-44be-a441-0c61f65692d2}"/>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2.满意度指标</w:t>
              </w:r>
            </w:sdtContent>
          </w:sdt>
          <w:r>
            <w:tab/>
          </w:r>
          <w:bookmarkStart w:id="52" w:name="_Toc14898_WPSOffice_Level3Page"/>
          <w:r>
            <w:t>23</w:t>
          </w:r>
          <w:bookmarkEnd w:id="52"/>
          <w:r>
            <w:fldChar w:fldCharType="end"/>
          </w:r>
        </w:p>
        <w:p>
          <w:pPr>
            <w:pStyle w:val="38"/>
            <w:tabs>
              <w:tab w:val="right" w:leader="dot" w:pos="8844"/>
            </w:tabs>
          </w:pPr>
          <w:r>
            <w:fldChar w:fldCharType="begin"/>
          </w:r>
          <w:r>
            <w:instrText xml:space="preserve"> HYPERLINK \l _Toc2810_WPSOffice_Level1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c75534d7-5290-46cd-8397-7934af04b26d}"/>
              </w:placeholder>
            </w:sdtPr>
            <w:sdtEndPr>
              <w:rPr>
                <w:rFonts w:ascii="方正仿宋_GBK" w:hAnsi="方正仿宋_GBK" w:eastAsia="方正黑体_GBK" w:cs="黑体"/>
                <w:b/>
                <w:kern w:val="44"/>
                <w:sz w:val="32"/>
                <w:szCs w:val="22"/>
                <w:lang w:val="en-US" w:eastAsia="zh-CN" w:bidi="ar-SA"/>
              </w:rPr>
            </w:sdtEndPr>
            <w:sdtContent>
              <w:r>
                <w:rPr>
                  <w:rFonts w:hint="eastAsia" w:ascii="方正黑体_GBK" w:hAnsi="方正黑体_GBK" w:eastAsia="方正黑体_GBK" w:cs="方正黑体_GBK"/>
                </w:rPr>
                <w:t>五、主要经验及做法、存在的问题及原因分析</w:t>
              </w:r>
            </w:sdtContent>
          </w:sdt>
          <w:r>
            <w:tab/>
          </w:r>
          <w:bookmarkStart w:id="53" w:name="_Toc2810_WPSOffice_Level1Page"/>
          <w:r>
            <w:t>23</w:t>
          </w:r>
          <w:bookmarkEnd w:id="53"/>
          <w:r>
            <w:fldChar w:fldCharType="end"/>
          </w:r>
        </w:p>
        <w:p>
          <w:pPr>
            <w:pStyle w:val="39"/>
            <w:tabs>
              <w:tab w:val="right" w:leader="dot" w:pos="8844"/>
            </w:tabs>
          </w:pPr>
          <w:r>
            <w:fldChar w:fldCharType="begin"/>
          </w:r>
          <w:r>
            <w:instrText xml:space="preserve"> HYPERLINK \l _Toc7071_WPSOffice_Level2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bf7d2b2d-e27f-4a3f-9081-ac247e57e879}"/>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(一)主要经验及做法</w:t>
              </w:r>
            </w:sdtContent>
          </w:sdt>
          <w:r>
            <w:tab/>
          </w:r>
          <w:bookmarkStart w:id="54" w:name="_Toc7071_WPSOffice_Level2Page"/>
          <w:r>
            <w:t>23</w:t>
          </w:r>
          <w:bookmarkEnd w:id="54"/>
          <w:r>
            <w:fldChar w:fldCharType="end"/>
          </w:r>
        </w:p>
        <w:p>
          <w:pPr>
            <w:pStyle w:val="39"/>
            <w:tabs>
              <w:tab w:val="right" w:leader="dot" w:pos="8844"/>
            </w:tabs>
          </w:pPr>
          <w:r>
            <w:fldChar w:fldCharType="begin"/>
          </w:r>
          <w:r>
            <w:instrText xml:space="preserve"> HYPERLINK \l _Toc3124_WPSOffice_Level2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b0e1f73d-8380-4b76-83f3-ada49718a1af}"/>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(二)存在的问题</w:t>
              </w:r>
            </w:sdtContent>
          </w:sdt>
          <w:r>
            <w:tab/>
          </w:r>
          <w:bookmarkStart w:id="55" w:name="_Toc3124_WPSOffice_Level2Page"/>
          <w:r>
            <w:t>24</w:t>
          </w:r>
          <w:bookmarkEnd w:id="55"/>
          <w:r>
            <w:fldChar w:fldCharType="end"/>
          </w:r>
        </w:p>
        <w:p>
          <w:pPr>
            <w:pStyle w:val="38"/>
            <w:tabs>
              <w:tab w:val="right" w:leader="dot" w:pos="8844"/>
            </w:tabs>
          </w:pPr>
          <w:r>
            <w:fldChar w:fldCharType="begin"/>
          </w:r>
          <w:r>
            <w:instrText xml:space="preserve"> HYPERLINK \l _Toc13626_WPSOffice_Level1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3de5d5f5-cf81-4877-b6e5-2cddde037c99}"/>
              </w:placeholder>
            </w:sdtPr>
            <w:sdtEndPr>
              <w:rPr>
                <w:rFonts w:ascii="方正仿宋_GBK" w:hAnsi="方正仿宋_GBK" w:eastAsia="方正黑体_GBK" w:cs="黑体"/>
                <w:b/>
                <w:kern w:val="44"/>
                <w:sz w:val="32"/>
                <w:szCs w:val="22"/>
                <w:lang w:val="en-US" w:eastAsia="zh-CN" w:bidi="ar-SA"/>
              </w:rPr>
            </w:sdtEndPr>
            <w:sdtContent>
              <w:r>
                <w:rPr>
                  <w:rFonts w:hint="eastAsia" w:ascii="方正黑体_GBK" w:hAnsi="方正黑体_GBK" w:eastAsia="方正黑体_GBK" w:cs="方正黑体_GBK"/>
                </w:rPr>
                <w:t>六、有关建议</w:t>
              </w:r>
            </w:sdtContent>
          </w:sdt>
          <w:r>
            <w:tab/>
          </w:r>
          <w:bookmarkStart w:id="56" w:name="_Toc13626_WPSOffice_Level1Page"/>
          <w:r>
            <w:t>24</w:t>
          </w:r>
          <w:bookmarkEnd w:id="56"/>
          <w:r>
            <w:fldChar w:fldCharType="end"/>
          </w:r>
        </w:p>
        <w:p>
          <w:pPr>
            <w:pStyle w:val="38"/>
            <w:tabs>
              <w:tab w:val="right" w:leader="dot" w:pos="8844"/>
            </w:tabs>
          </w:pPr>
          <w:r>
            <w:fldChar w:fldCharType="begin"/>
          </w:r>
          <w:r>
            <w:instrText xml:space="preserve"> HYPERLINK \l _Toc30690_WPSOffice_Level1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05ab2342-8c58-4c33-a9eb-23d728ba9c1b}"/>
              </w:placeholder>
            </w:sdtPr>
            <w:sdtEndPr>
              <w:rPr>
                <w:rFonts w:ascii="方正仿宋_GBK" w:hAnsi="方正仿宋_GBK" w:eastAsia="方正黑体_GBK" w:cs="黑体"/>
                <w:b/>
                <w:kern w:val="44"/>
                <w:sz w:val="32"/>
                <w:szCs w:val="22"/>
                <w:lang w:val="en-US" w:eastAsia="zh-CN" w:bidi="ar-SA"/>
              </w:rPr>
            </w:sdtEndPr>
            <w:sdtContent>
              <w:r>
                <w:rPr>
                  <w:rFonts w:hint="eastAsia" w:ascii="方正黑体_GBK" w:hAnsi="方正黑体_GBK" w:eastAsia="方正黑体_GBK" w:cs="方正黑体_GBK"/>
                </w:rPr>
                <w:t>七、 评价结果应用建议</w:t>
              </w:r>
            </w:sdtContent>
          </w:sdt>
          <w:r>
            <w:tab/>
          </w:r>
          <w:bookmarkStart w:id="57" w:name="_Toc30690_WPSOffice_Level1Page"/>
          <w:r>
            <w:t>24</w:t>
          </w:r>
          <w:bookmarkEnd w:id="57"/>
          <w:r>
            <w:fldChar w:fldCharType="end"/>
          </w:r>
        </w:p>
        <w:p>
          <w:pPr>
            <w:pStyle w:val="39"/>
            <w:tabs>
              <w:tab w:val="right" w:leader="dot" w:pos="8844"/>
            </w:tabs>
          </w:pPr>
          <w:r>
            <w:fldChar w:fldCharType="begin"/>
          </w:r>
          <w:r>
            <w:instrText xml:space="preserve"> HYPERLINK \l _Toc2714_WPSOffice_Level2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ff8a6b39-c5cb-4586-b217-b46ec5a45f1e}"/>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仿宋_GB2312"/>
                </w:rPr>
                <w:t>（一） 及时对发现的问题进行整改</w:t>
              </w:r>
            </w:sdtContent>
          </w:sdt>
          <w:r>
            <w:tab/>
          </w:r>
          <w:bookmarkStart w:id="58" w:name="_Toc2714_WPSOffice_Level2Page"/>
          <w:r>
            <w:t>24</w:t>
          </w:r>
          <w:bookmarkEnd w:id="58"/>
          <w:r>
            <w:fldChar w:fldCharType="end"/>
          </w:r>
        </w:p>
        <w:p>
          <w:pPr>
            <w:pStyle w:val="39"/>
            <w:tabs>
              <w:tab w:val="right" w:leader="dot" w:pos="8844"/>
            </w:tabs>
          </w:pPr>
          <w:r>
            <w:fldChar w:fldCharType="begin"/>
          </w:r>
          <w:r>
            <w:instrText xml:space="preserve"> HYPERLINK \l _Toc21415_WPSOffice_Level2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5b19cc0f-fa91-4f43-9918-8ff2fcef376b}"/>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仿宋_GB2312"/>
                </w:rPr>
                <w:t>（二） 建立绩效评价结果应用制度</w:t>
              </w:r>
            </w:sdtContent>
          </w:sdt>
          <w:r>
            <w:tab/>
          </w:r>
          <w:bookmarkStart w:id="59" w:name="_Toc21415_WPSOffice_Level2Page"/>
          <w:r>
            <w:t>25</w:t>
          </w:r>
          <w:bookmarkEnd w:id="59"/>
          <w:r>
            <w:fldChar w:fldCharType="end"/>
          </w:r>
        </w:p>
        <w:p>
          <w:pPr>
            <w:pStyle w:val="39"/>
            <w:tabs>
              <w:tab w:val="right" w:leader="dot" w:pos="8844"/>
            </w:tabs>
          </w:pPr>
          <w:r>
            <w:fldChar w:fldCharType="begin"/>
          </w:r>
          <w:r>
            <w:instrText xml:space="preserve"> HYPERLINK \l _Toc19889_WPSOffice_Level2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2479a3fc-e0b4-418a-9ecb-df3792dd9d7d}"/>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仿宋_GB2312"/>
                </w:rPr>
                <w:t>（三） 强化绩效评价结果应用</w:t>
              </w:r>
            </w:sdtContent>
          </w:sdt>
          <w:r>
            <w:tab/>
          </w:r>
          <w:bookmarkStart w:id="60" w:name="_Toc19889_WPSOffice_Level2Page"/>
          <w:r>
            <w:t>25</w:t>
          </w:r>
          <w:bookmarkEnd w:id="60"/>
          <w:r>
            <w:fldChar w:fldCharType="end"/>
          </w:r>
        </w:p>
        <w:p>
          <w:pPr>
            <w:pStyle w:val="39"/>
            <w:tabs>
              <w:tab w:val="right" w:leader="dot" w:pos="8844"/>
            </w:tabs>
          </w:pPr>
          <w:r>
            <w:fldChar w:fldCharType="begin"/>
          </w:r>
          <w:r>
            <w:instrText xml:space="preserve"> HYPERLINK \l _Toc14898_WPSOffice_Level2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fe90c457-ef45-47d5-a436-b0e9c33e7a0e}"/>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仿宋_GB2312"/>
                </w:rPr>
                <w:t>（四） 评价结果公开</w:t>
              </w:r>
            </w:sdtContent>
          </w:sdt>
          <w:r>
            <w:tab/>
          </w:r>
          <w:bookmarkStart w:id="61" w:name="_Toc14898_WPSOffice_Level2Page"/>
          <w:r>
            <w:t>26</w:t>
          </w:r>
          <w:bookmarkEnd w:id="61"/>
          <w:r>
            <w:fldChar w:fldCharType="end"/>
          </w:r>
        </w:p>
        <w:p>
          <w:pPr>
            <w:pStyle w:val="38"/>
            <w:tabs>
              <w:tab w:val="right" w:leader="dot" w:pos="8844"/>
            </w:tabs>
          </w:pPr>
          <w:r>
            <w:fldChar w:fldCharType="begin"/>
          </w:r>
          <w:r>
            <w:instrText xml:space="preserve"> HYPERLINK \l _Toc27103_WPSOffice_Level1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1b0d0fed-0c81-439a-86b9-c9570c94d2ef}"/>
              </w:placeholder>
            </w:sdtPr>
            <w:sdtEndPr>
              <w:rPr>
                <w:rFonts w:ascii="方正仿宋_GBK" w:hAnsi="方正仿宋_GBK" w:eastAsia="方正黑体_GBK" w:cs="黑体"/>
                <w:b/>
                <w:kern w:val="44"/>
                <w:sz w:val="32"/>
                <w:szCs w:val="22"/>
                <w:lang w:val="en-US" w:eastAsia="zh-CN" w:bidi="ar-SA"/>
              </w:rPr>
            </w:sdtEndPr>
            <w:sdtContent>
              <w:r>
                <w:rPr>
                  <w:rFonts w:hint="eastAsia" w:ascii="方正黑体_GBK" w:hAnsi="方正黑体_GBK" w:eastAsia="方正黑体_GBK" w:cs="方正黑体_GBK"/>
                </w:rPr>
                <w:t>八、其他需要说明的问题</w:t>
              </w:r>
            </w:sdtContent>
          </w:sdt>
          <w:r>
            <w:tab/>
          </w:r>
          <w:bookmarkStart w:id="62" w:name="_Toc27103_WPSOffice_Level1Page"/>
          <w:r>
            <w:t>26</w:t>
          </w:r>
          <w:bookmarkEnd w:id="62"/>
          <w:r>
            <w:fldChar w:fldCharType="end"/>
          </w:r>
        </w:p>
        <w:p>
          <w:pPr>
            <w:pStyle w:val="38"/>
            <w:tabs>
              <w:tab w:val="right" w:leader="dot" w:pos="8844"/>
            </w:tabs>
          </w:pPr>
          <w:r>
            <w:fldChar w:fldCharType="begin"/>
          </w:r>
          <w:r>
            <w:instrText xml:space="preserve"> HYPERLINK \l _Toc22965_WPSOffice_Level1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55d9bc2d-35d5-4cc2-95d9-04a433e85f47}"/>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附件一：城东金融贸易区市政维修安装、绿化养护项目综合评分表</w:t>
              </w:r>
            </w:sdtContent>
          </w:sdt>
          <w:r>
            <w:tab/>
          </w:r>
          <w:bookmarkStart w:id="63" w:name="_Toc22965_WPSOffice_Level1Page"/>
          <w:r>
            <w:t>28</w:t>
          </w:r>
          <w:bookmarkEnd w:id="63"/>
          <w:r>
            <w:fldChar w:fldCharType="end"/>
          </w:r>
        </w:p>
        <w:p>
          <w:pPr>
            <w:pStyle w:val="38"/>
            <w:tabs>
              <w:tab w:val="right" w:leader="dot" w:pos="8844"/>
            </w:tabs>
          </w:pPr>
          <w:r>
            <w:fldChar w:fldCharType="begin"/>
          </w:r>
          <w:r>
            <w:instrText xml:space="preserve"> HYPERLINK \l _Toc1441_WPSOffice_Level1 </w:instrText>
          </w:r>
          <w:r>
            <w:fldChar w:fldCharType="separate"/>
          </w:r>
          <w:sdt>
            <w:sdtPr>
              <w:rPr>
                <w:rFonts w:ascii="方正仿宋_GBK" w:hAnsi="方正仿宋_GBK" w:eastAsia="方正黑体_GBK" w:cs="黑体"/>
                <w:b/>
                <w:kern w:val="44"/>
                <w:sz w:val="32"/>
                <w:szCs w:val="22"/>
                <w:lang w:val="en-US" w:eastAsia="zh-CN" w:bidi="ar-SA"/>
              </w:rPr>
              <w:id w:val="147468360"/>
              <w:placeholder>
                <w:docPart w:val="{12e9b91b-8118-4818-bd3f-e62afe02ab66}"/>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附件二：城东金融贸易区市政维修安装、绿化养护项目</w:t>
              </w:r>
              <w:sdt>
                <w:sdtPr>
                  <w:rPr>
                    <w:rFonts w:ascii="方正仿宋_GBK" w:hAnsi="方正仿宋_GBK" w:eastAsia="方正黑体_GBK" w:cs="黑体"/>
                    <w:b/>
                    <w:kern w:val="44"/>
                    <w:sz w:val="32"/>
                    <w:szCs w:val="22"/>
                    <w:lang w:val="en-US" w:eastAsia="zh-CN" w:bidi="ar-SA"/>
                  </w:rPr>
                  <w:id w:val="147468360"/>
                  <w:placeholder>
                    <w:docPart w:val="{e0ab4e59-c9c4-45ce-9d57-cdeac08286c4}"/>
                  </w:placeholder>
                </w:sdtPr>
                <w:sdtEndPr>
                  <w:rPr>
                    <w:rFonts w:ascii="方正仿宋_GBK" w:hAnsi="方正仿宋_GBK" w:eastAsia="方正黑体_GBK" w:cs="黑体"/>
                    <w:b/>
                    <w:kern w:val="44"/>
                    <w:sz w:val="32"/>
                    <w:szCs w:val="22"/>
                    <w:lang w:val="en-US" w:eastAsia="zh-CN" w:bidi="ar-SA"/>
                  </w:rPr>
                </w:sdtEndPr>
                <w:sdtContent>
                  <w:r>
                    <w:rPr>
                      <w:rFonts w:hint="eastAsia" w:ascii="Times New Roman" w:hAnsi="Times New Roman" w:eastAsia="方正仿宋_GBK" w:cs="方正仿宋_GBK"/>
                    </w:rPr>
                    <w:t>满意度调查问卷</w:t>
                  </w:r>
                </w:sdtContent>
              </w:sdt>
            </w:sdtContent>
          </w:sdt>
          <w:r>
            <w:tab/>
          </w:r>
          <w:bookmarkStart w:id="64" w:name="_Toc1441_WPSOffice_Level1Page"/>
          <w:r>
            <w:t>36</w:t>
          </w:r>
          <w:bookmarkEnd w:id="64"/>
          <w:r>
            <w:fldChar w:fldCharType="end"/>
          </w:r>
        </w:p>
        <w:bookmarkEnd w:id="4"/>
        <w:p>
          <w:pPr>
            <w:pStyle w:val="38"/>
            <w:tabs>
              <w:tab w:val="right" w:leader="dot" w:pos="8844"/>
            </w:tabs>
          </w:pPr>
        </w:p>
      </w:sdtContent>
    </w:sdt>
    <w:p>
      <w:pPr>
        <w:pStyle w:val="4"/>
        <w:keepNext/>
        <w:keepLines/>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_GBK" w:cs="方正小标宋_GBK"/>
          <w:sz w:val="40"/>
          <w:szCs w:val="40"/>
          <w:lang w:eastAsia="zh-CN"/>
        </w:rPr>
        <w:sectPr>
          <w:headerReference r:id="rId4" w:type="default"/>
          <w:footerReference r:id="rId5" w:type="default"/>
          <w:pgSz w:w="11906" w:h="16838"/>
          <w:pgMar w:top="1984" w:right="1531" w:bottom="1701" w:left="1531" w:header="851" w:footer="992" w:gutter="0"/>
          <w:pgNumType w:fmt="decimal" w:start="1"/>
          <w:cols w:space="0" w:num="1"/>
          <w:rtlGutter w:val="0"/>
          <w:docGrid w:type="lines" w:linePitch="438" w:charSpace="0"/>
        </w:sectPr>
      </w:pPr>
    </w:p>
    <w:p>
      <w:pPr>
        <w:pStyle w:val="4"/>
        <w:keepNext/>
        <w:keepLines/>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_GBK" w:cs="方正小标宋_GBK"/>
          <w:sz w:val="40"/>
          <w:szCs w:val="40"/>
          <w:lang w:eastAsia="zh-CN"/>
        </w:rPr>
      </w:pPr>
      <w:bookmarkStart w:id="65" w:name="_Toc19723_WPSOffice_Level1"/>
      <w:r>
        <w:rPr>
          <w:rFonts w:hint="eastAsia" w:ascii="Times New Roman" w:hAnsi="Times New Roman" w:eastAsia="方正小标宋_GBK" w:cs="方正小标宋_GBK"/>
          <w:sz w:val="40"/>
          <w:szCs w:val="40"/>
          <w:lang w:eastAsia="zh-CN"/>
        </w:rPr>
        <w:t>城东金融贸易区市政维修安装、绿化养护项目</w:t>
      </w:r>
      <w:bookmarkEnd w:id="65"/>
    </w:p>
    <w:p>
      <w:pPr>
        <w:pStyle w:val="4"/>
        <w:keepNext/>
        <w:keepLines/>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方正小标宋_GBK" w:cs="方正小标宋_GBK"/>
          <w:sz w:val="40"/>
          <w:szCs w:val="40"/>
          <w:lang w:eastAsia="zh-CN"/>
        </w:rPr>
      </w:pPr>
      <w:bookmarkStart w:id="66" w:name="_Toc3180_WPSOffice_Level1"/>
      <w:bookmarkStart w:id="67" w:name="_Toc23014_WPSOffice_Level1"/>
      <w:r>
        <w:rPr>
          <w:rFonts w:hint="eastAsia" w:ascii="Times New Roman" w:hAnsi="Times New Roman" w:eastAsia="方正小标宋_GBK" w:cs="方正小标宋_GBK"/>
          <w:sz w:val="40"/>
          <w:szCs w:val="40"/>
          <w:lang w:eastAsia="zh-CN"/>
        </w:rPr>
        <w:t>绩效评价报告</w:t>
      </w:r>
      <w:bookmarkEnd w:id="66"/>
      <w:bookmarkEnd w:id="67"/>
    </w:p>
    <w:p>
      <w:pPr>
        <w:pageBreakBefore w:val="0"/>
        <w:wordWrap/>
        <w:topLinePunct w:val="0"/>
        <w:bidi w:val="0"/>
        <w:adjustRightInd/>
        <w:spacing w:line="560" w:lineRule="exact"/>
        <w:ind w:left="0" w:leftChars="0" w:firstLine="0" w:firstLineChars="0"/>
        <w:textAlignment w:val="auto"/>
        <w:rPr>
          <w:rFonts w:hint="eastAsia" w:ascii="Times New Roman" w:hAnsi="Times New Roman" w:eastAsia="方正仿宋_GBK" w:cs="方正仿宋_GBK"/>
        </w:rPr>
      </w:pPr>
      <w:r>
        <w:rPr>
          <w:rFonts w:hint="eastAsia" w:ascii="Times New Roman" w:hAnsi="Times New Roman" w:eastAsia="方正仿宋_GBK" w:cs="方正仿宋_GBK"/>
          <w:b w:val="0"/>
          <w:bCs/>
          <w:spacing w:val="-1"/>
          <w:szCs w:val="32"/>
          <w:lang w:eastAsia="zh-CN"/>
        </w:rPr>
        <w:t>喀什经济开发区财政金</w:t>
      </w:r>
      <w:r>
        <w:rPr>
          <w:rFonts w:hint="eastAsia" w:ascii="Times New Roman" w:hAnsi="Times New Roman" w:eastAsia="方正仿宋_GBK" w:cs="方正仿宋_GBK"/>
          <w:lang w:eastAsia="zh-CN"/>
        </w:rPr>
        <w:t>融局</w:t>
      </w:r>
      <w:r>
        <w:rPr>
          <w:rFonts w:hint="eastAsia" w:ascii="Times New Roman" w:hAnsi="Times New Roman" w:eastAsia="方正仿宋_GBK" w:cs="方正仿宋_GBK"/>
        </w:rPr>
        <w:t>：</w:t>
      </w:r>
    </w:p>
    <w:p>
      <w:pPr>
        <w:pageBreakBefore w:val="0"/>
        <w:wordWrap/>
        <w:topLinePunct w:val="0"/>
        <w:bidi w:val="0"/>
        <w:adjustRightInd/>
        <w:spacing w:line="560" w:lineRule="exact"/>
        <w:textAlignment w:val="auto"/>
        <w:rPr>
          <w:rFonts w:hint="eastAsia" w:ascii="Times New Roman" w:hAnsi="Times New Roman" w:eastAsia="方正仿宋_GBK" w:cs="方正仿宋_GBK"/>
          <w:b w:val="0"/>
          <w:bCs/>
          <w:spacing w:val="-1"/>
          <w:szCs w:val="32"/>
        </w:rPr>
      </w:pPr>
      <w:r>
        <w:rPr>
          <w:rFonts w:hint="eastAsia" w:ascii="Times New Roman" w:hAnsi="Times New Roman" w:eastAsia="方正仿宋_GBK" w:cs="方正仿宋_GBK"/>
        </w:rPr>
        <w:t>为贯彻落实全面推进预算绩效管理工作的要求，完善部门预算管理，强化预算支出</w:t>
      </w:r>
      <w:r>
        <w:rPr>
          <w:rFonts w:hint="eastAsia" w:ascii="Times New Roman" w:hAnsi="Times New Roman" w:eastAsia="方正仿宋_GBK" w:cs="方正仿宋_GBK"/>
          <w:b w:val="0"/>
          <w:bCs/>
          <w:spacing w:val="-1"/>
          <w:szCs w:val="32"/>
        </w:rPr>
        <w:t>责任，提高财政资金的使用效益，根据《中华人民共和国预算法》《中共中央国务院关于全面实施预算绩效管理的意见》(中发〔2018〕34号)、《项目支出绩效评价管理办法》(财预〔2020〕10号)、《财政部关于印发〈第三方机构预算绩效评价业务监督管理暂行办法〉的通知》</w:t>
      </w:r>
      <w:r>
        <w:rPr>
          <w:rFonts w:hint="eastAsia" w:ascii="Times New Roman" w:hAnsi="Times New Roman" w:eastAsia="方正仿宋_GBK" w:cs="方正仿宋_GBK"/>
          <w:b w:val="0"/>
          <w:bCs/>
          <w:spacing w:val="-1"/>
          <w:szCs w:val="32"/>
        </w:rPr>
        <w:tab/>
      </w:r>
      <w:r>
        <w:rPr>
          <w:rFonts w:hint="eastAsia" w:ascii="Times New Roman" w:hAnsi="Times New Roman" w:eastAsia="方正仿宋_GBK" w:cs="方正仿宋_GBK"/>
          <w:b w:val="0"/>
          <w:bCs/>
          <w:spacing w:val="-1"/>
          <w:szCs w:val="32"/>
        </w:rPr>
        <w:t>(财监〔2021〕4号)、《关于委托第三方机构参与预算绩效管理的指导意见》(财预〔2021〕6号)、《关于进一步加强和规范第三方机构参与预算绩效管理的通知》(新财预〔2021〕49号)、《自治区党委自治区人民政府关于全面实施预算绩效管理的实施意见》(新党发〔2018〕30号)等系列文件的要求，受</w:t>
      </w:r>
      <w:r>
        <w:rPr>
          <w:rFonts w:hint="eastAsia" w:ascii="Times New Roman" w:hAnsi="Times New Roman" w:eastAsia="方正仿宋_GBK" w:cs="方正仿宋_GBK"/>
          <w:b w:val="0"/>
          <w:bCs/>
          <w:spacing w:val="-1"/>
          <w:szCs w:val="32"/>
          <w:lang w:eastAsia="zh-CN"/>
        </w:rPr>
        <w:t>贵</w:t>
      </w:r>
      <w:r>
        <w:rPr>
          <w:rFonts w:hint="eastAsia" w:ascii="Times New Roman" w:hAnsi="Times New Roman" w:eastAsia="方正仿宋_GBK" w:cs="方正仿宋_GBK"/>
          <w:b w:val="0"/>
          <w:bCs/>
          <w:spacing w:val="-1"/>
          <w:szCs w:val="32"/>
        </w:rPr>
        <w:t>局的委托，</w:t>
      </w:r>
      <w:r>
        <w:rPr>
          <w:rFonts w:hint="eastAsia" w:ascii="Times New Roman" w:hAnsi="Times New Roman" w:cs="方正仿宋_GBK"/>
          <w:b w:val="0"/>
          <w:bCs/>
          <w:spacing w:val="-1"/>
          <w:szCs w:val="32"/>
          <w:lang w:eastAsia="zh-CN"/>
        </w:rPr>
        <w:t>我</w:t>
      </w:r>
      <w:r>
        <w:rPr>
          <w:rFonts w:hint="eastAsia" w:ascii="Times New Roman" w:hAnsi="Times New Roman" w:eastAsia="方正仿宋_GBK" w:cs="方正仿宋_GBK"/>
          <w:b w:val="0"/>
          <w:bCs/>
          <w:spacing w:val="-1"/>
          <w:szCs w:val="32"/>
        </w:rPr>
        <w:t>公司承担了</w:t>
      </w:r>
      <w:r>
        <w:rPr>
          <w:rFonts w:hint="eastAsia" w:ascii="Times New Roman" w:hAnsi="Times New Roman" w:eastAsia="方正仿宋_GBK" w:cs="方正仿宋_GBK"/>
          <w:b w:val="0"/>
          <w:bCs/>
          <w:spacing w:val="-1"/>
          <w:szCs w:val="32"/>
          <w:lang w:val="en-US" w:eastAsia="zh-CN"/>
        </w:rPr>
        <w:t>城东金融贸易区市政维修安装、绿化养护项目</w:t>
      </w:r>
      <w:r>
        <w:rPr>
          <w:rFonts w:hint="eastAsia" w:ascii="Times New Roman" w:hAnsi="Times New Roman" w:eastAsia="方正仿宋_GBK" w:cs="方正仿宋_GBK"/>
          <w:b w:val="0"/>
          <w:bCs/>
          <w:spacing w:val="-1"/>
          <w:szCs w:val="32"/>
        </w:rPr>
        <w:t>的绩效评价工作并形成绩效评价报告，</w:t>
      </w:r>
      <w:r>
        <w:rPr>
          <w:rFonts w:hint="eastAsia" w:ascii="Times New Roman" w:hAnsi="Times New Roman" w:eastAsia="方正仿宋_GBK" w:cs="方正仿宋_GBK"/>
          <w:b w:val="0"/>
          <w:bCs/>
          <w:spacing w:val="-1"/>
          <w:szCs w:val="32"/>
          <w:lang w:val="en-US" w:eastAsia="zh-CN"/>
        </w:rPr>
        <w:t>喀什经济开发区城东金融贸易发展服务中心</w:t>
      </w:r>
      <w:r>
        <w:rPr>
          <w:rFonts w:hint="eastAsia" w:ascii="Times New Roman" w:hAnsi="Times New Roman" w:eastAsia="方正仿宋_GBK" w:cs="方正仿宋_GBK"/>
          <w:b w:val="0"/>
          <w:bCs/>
          <w:spacing w:val="-1"/>
          <w:szCs w:val="32"/>
        </w:rPr>
        <w:t>负责提供与本次绩效评价相关的项目资料并保证项目资料的真实、合法、准确和完整，现将项目绩效评价情况报告如下：</w:t>
      </w:r>
    </w:p>
    <w:p>
      <w:pPr>
        <w:pStyle w:val="4"/>
        <w:pageBreakBefore w:val="0"/>
        <w:wordWrap/>
        <w:topLinePunct w:val="0"/>
        <w:bidi w:val="0"/>
        <w:adjustRightInd/>
        <w:spacing w:line="560" w:lineRule="exact"/>
        <w:textAlignment w:val="auto"/>
        <w:rPr>
          <w:rFonts w:hint="eastAsia" w:ascii="方正黑体_GBK" w:hAnsi="方正黑体_GBK" w:eastAsia="方正黑体_GBK" w:cs="方正黑体_GBK"/>
        </w:rPr>
      </w:pPr>
      <w:bookmarkStart w:id="68" w:name="_Toc18734_WPSOffice_Level1"/>
      <w:r>
        <w:rPr>
          <w:rFonts w:hint="eastAsia" w:ascii="方正黑体_GBK" w:hAnsi="方正黑体_GBK" w:eastAsia="方正黑体_GBK" w:cs="方正黑体_GBK"/>
          <w:lang w:val="en-US" w:eastAsia="zh-CN"/>
        </w:rPr>
        <w:t>一、基本情况</w:t>
      </w:r>
      <w:bookmarkEnd w:id="68"/>
    </w:p>
    <w:p>
      <w:pPr>
        <w:pStyle w:val="5"/>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69" w:name="_Toc30475"/>
      <w:bookmarkStart w:id="70" w:name="_Toc3180_WPSOffice_Level2"/>
      <w:bookmarkStart w:id="71" w:name="_Toc26312"/>
      <w:bookmarkStart w:id="72" w:name="_Toc24443"/>
      <w:r>
        <w:rPr>
          <w:rFonts w:hint="eastAsia" w:ascii="Times New Roman" w:hAnsi="Times New Roman" w:eastAsia="方正仿宋_GBK" w:cs="方正仿宋_GBK"/>
          <w:lang w:val="en-US" w:eastAsia="zh-CN"/>
        </w:rPr>
        <w:t>（一）项目概况</w:t>
      </w:r>
      <w:bookmarkEnd w:id="69"/>
      <w:bookmarkEnd w:id="70"/>
      <w:bookmarkEnd w:id="71"/>
      <w:bookmarkEnd w:id="72"/>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73" w:name="_Toc10012"/>
      <w:bookmarkStart w:id="74" w:name="_Toc1361"/>
      <w:bookmarkStart w:id="75" w:name="_Toc29206"/>
      <w:bookmarkStart w:id="76" w:name="_Toc22727"/>
      <w:bookmarkStart w:id="77" w:name="_Toc3180_WPSOffice_Level3"/>
      <w:bookmarkStart w:id="78" w:name="_Toc3852"/>
      <w:r>
        <w:rPr>
          <w:rFonts w:hint="eastAsia" w:ascii="Times New Roman" w:hAnsi="Times New Roman" w:eastAsia="方正仿宋_GBK" w:cs="方正仿宋_GBK"/>
          <w:lang w:val="en-US" w:eastAsia="zh-CN"/>
        </w:rPr>
        <w:t>1.项目背景</w:t>
      </w:r>
      <w:bookmarkEnd w:id="73"/>
      <w:bookmarkEnd w:id="74"/>
      <w:bookmarkEnd w:id="75"/>
      <w:bookmarkEnd w:id="76"/>
      <w:bookmarkEnd w:id="77"/>
      <w:bookmarkEnd w:id="78"/>
    </w:p>
    <w:p>
      <w:pPr>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bookmarkStart w:id="79" w:name="_Toc21879"/>
      <w:bookmarkStart w:id="80" w:name="_Toc4446"/>
      <w:bookmarkStart w:id="81" w:name="_Toc344"/>
      <w:bookmarkStart w:id="82" w:name="_Toc7734"/>
      <w:bookmarkStart w:id="83" w:name="_Toc24534"/>
      <w:r>
        <w:rPr>
          <w:rFonts w:hint="eastAsia" w:ascii="Times New Roman" w:hAnsi="Times New Roman" w:cs="方正仿宋_GBK"/>
          <w:lang w:eastAsia="zh-CN"/>
        </w:rPr>
        <w:t>在城市化不断发展的背景下，人们对城市职能也提出了较高的要求，</w:t>
      </w:r>
      <w:r>
        <w:rPr>
          <w:rFonts w:hint="eastAsia" w:ascii="Times New Roman" w:hAnsi="Times New Roman" w:cs="方正仿宋_GBK"/>
          <w:lang w:val="en-US" w:eastAsia="zh-CN"/>
        </w:rPr>
        <w:t>既</w:t>
      </w:r>
      <w:r>
        <w:rPr>
          <w:rFonts w:hint="eastAsia" w:ascii="Times New Roman" w:hAnsi="Times New Roman" w:cs="方正仿宋_GBK"/>
          <w:lang w:eastAsia="zh-CN"/>
        </w:rPr>
        <w:t>需要良好的空气又需要优美的环境，绿化养护工作在能够为人们工作生活提供良好的空气及环境的同时，还能对城市进行美化，保证了城市变得更加丰富和多彩，该项目</w:t>
      </w:r>
      <w:r>
        <w:rPr>
          <w:rFonts w:hint="eastAsia" w:ascii="Times New Roman" w:hAnsi="Times New Roman" w:eastAsia="方正仿宋_GBK" w:cs="方正仿宋_GBK"/>
          <w:lang w:val="en-US" w:eastAsia="zh-CN"/>
        </w:rPr>
        <w:t>根据喀什经济开发区党政联席会第11期会议纪要，喀什经济开发区城东金融贸易发展服务中心绿化管护费用从2022年至2024年，每年支付当年度的绿化养护费用。2021年绿化环卫公共服务一体化项目一、二、三标段根据2021年4月签订服务合同内容执行。</w:t>
      </w:r>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84" w:name="_Toc18734_WPSOffice_Level3"/>
      <w:r>
        <w:rPr>
          <w:rFonts w:hint="eastAsia" w:ascii="Times New Roman" w:hAnsi="Times New Roman" w:eastAsia="方正仿宋_GBK" w:cs="方正仿宋_GBK"/>
          <w:lang w:val="en-US" w:eastAsia="zh-CN"/>
        </w:rPr>
        <w:t>2.项目实施主体</w:t>
      </w:r>
      <w:bookmarkEnd w:id="84"/>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喀什经济开发区城东金融贸易发展服务中心为事业单位，为正县级，主要职责是：协助做好区内招商引资工作；项目管理服务，企业服务，公共绿化，党建指导，公共设施管护，积极推进项目落地，做好政策宣传和补贴初核，协调解决企业发展中存在问题，承办党工委、管委会交办其他工作。</w:t>
      </w:r>
    </w:p>
    <w:p>
      <w:pPr>
        <w:pageBreakBefore w:val="0"/>
        <w:wordWrap/>
        <w:topLinePunct w:val="0"/>
        <w:bidi w:val="0"/>
        <w:adjustRightInd/>
        <w:spacing w:line="560" w:lineRule="exact"/>
        <w:textAlignment w:val="auto"/>
        <w:rPr>
          <w:rFonts w:hint="eastAsia" w:ascii="Times New Roman" w:hAnsi="Times New Roman"/>
        </w:rPr>
      </w:pPr>
      <w:r>
        <w:rPr>
          <w:rFonts w:hint="eastAsia" w:ascii="Times New Roman" w:hAnsi="Times New Roman"/>
          <w:lang w:val="en-US" w:eastAsia="zh-CN"/>
        </w:rPr>
        <w:t>喀什经济开发区城东金融贸易发展服务中心现有编制数15人。实有人数19人，其中：在职6人，比上年增加4人；退休0人，与上年无变化；离休0人，与上年无变化。</w:t>
      </w:r>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85" w:name="_Toc14327_WPSOffice_Level3"/>
      <w:r>
        <w:rPr>
          <w:rFonts w:hint="eastAsia" w:ascii="Times New Roman" w:hAnsi="Times New Roman" w:eastAsia="方正仿宋_GBK" w:cs="方正仿宋_GBK"/>
          <w:lang w:val="en-US" w:eastAsia="zh-CN"/>
        </w:rPr>
        <w:t>3.主要内容及实施情况</w:t>
      </w:r>
      <w:bookmarkEnd w:id="79"/>
      <w:bookmarkEnd w:id="80"/>
      <w:bookmarkEnd w:id="81"/>
      <w:bookmarkEnd w:id="82"/>
      <w:bookmarkEnd w:id="83"/>
      <w:bookmarkEnd w:id="85"/>
    </w:p>
    <w:p>
      <w:pPr>
        <w:pageBreakBefore w:val="0"/>
        <w:wordWrap/>
        <w:topLinePunct w:val="0"/>
        <w:bidi w:val="0"/>
        <w:adjustRightInd/>
        <w:spacing w:line="560" w:lineRule="exact"/>
        <w:textAlignment w:val="auto"/>
        <w:rPr>
          <w:rFonts w:hint="eastAsia" w:ascii="Times New Roman" w:hAnsi="Times New Roman"/>
          <w:lang w:val="en-US" w:eastAsia="zh-CN"/>
        </w:rPr>
      </w:pPr>
      <w:bookmarkStart w:id="86" w:name="_Toc13915"/>
      <w:bookmarkStart w:id="87" w:name="_Toc27324"/>
      <w:bookmarkStart w:id="88" w:name="_Toc15437"/>
      <w:bookmarkStart w:id="89" w:name="_Toc23034"/>
      <w:bookmarkStart w:id="90" w:name="_Toc1060"/>
      <w:r>
        <w:rPr>
          <w:rFonts w:hint="eastAsia" w:ascii="Times New Roman" w:hAnsi="Times New Roman"/>
          <w:lang w:val="en-US" w:eastAsia="zh-CN"/>
        </w:rPr>
        <w:t>城东金融贸易区范围内的各类零星维修改造；城东金融贸易区的深喀大道、城东大道、时代大道等城市主干道和大亚郎绿地、法桐公园周边的城市机动车道、人行道、绿化带的环境卫生等日常养护工作三个标段的项目尾款；2022年绿化环卫公共服务一体化项目绿化养护面积933000㎡，道路清洁面积1095000㎡,通过实施该项目直接服务于广大人民群众，是城市经济高效化和可持续发展的重要条件之一，同时促进整个区域生活环境提高，为居民提供良好的生态生活环境。</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截止2022年12月，已完成城东金融贸易区范围内的各类零星维修改造；城东金融贸易区的深喀大道、城东大道、时代大道等城市主干道和大亚郎绿地、法桐公园周边的城市机动车道、人行道、绿化带的环境卫生等日常养护工作三个标段的项目尾款的支付及2022年绿化环卫公共服务一体化项目绿化养护面积933000㎡，道路清洁面积1095000㎡,该项目直接服务于广大人民群众，是城市经济高效化和可持续发展的重要条件之一，促进了整个区域生活环境提高，为居民提供良好的生态生活环境。</w:t>
      </w:r>
    </w:p>
    <w:p>
      <w:pPr>
        <w:pStyle w:val="6"/>
        <w:pageBreakBefore w:val="0"/>
        <w:wordWrap/>
        <w:topLinePunct w:val="0"/>
        <w:bidi w:val="0"/>
        <w:adjustRightInd/>
        <w:spacing w:line="560" w:lineRule="exact"/>
        <w:ind w:left="0" w:leftChars="0" w:firstLine="643" w:firstLineChars="200"/>
        <w:textAlignment w:val="auto"/>
        <w:rPr>
          <w:rFonts w:hint="eastAsia" w:ascii="Times New Roman" w:hAnsi="Times New Roman" w:eastAsia="方正仿宋_GBK" w:cs="方正仿宋_GBK"/>
          <w:lang w:val="en-US" w:eastAsia="zh-CN"/>
        </w:rPr>
      </w:pPr>
      <w:bookmarkStart w:id="91" w:name="_Toc10081_WPSOffice_Level3"/>
      <w:r>
        <w:rPr>
          <w:rFonts w:hint="eastAsia" w:ascii="Times New Roman" w:hAnsi="Times New Roman" w:eastAsia="方正仿宋_GBK" w:cs="方正仿宋_GBK"/>
          <w:lang w:val="en-US" w:eastAsia="zh-CN"/>
        </w:rPr>
        <w:t>4.</w:t>
      </w:r>
      <w:bookmarkEnd w:id="86"/>
      <w:r>
        <w:rPr>
          <w:rFonts w:hint="eastAsia" w:ascii="Times New Roman" w:hAnsi="Times New Roman" w:eastAsia="方正仿宋_GBK" w:cs="方正仿宋_GBK"/>
          <w:lang w:val="en-US" w:eastAsia="zh-CN"/>
        </w:rPr>
        <w:t>资金投入和使用情况</w:t>
      </w:r>
      <w:bookmarkEnd w:id="91"/>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该项目预算资金总额为923.8万元，其中：财政资金923.8万元，其他资金0万元。实际到位资金923.8万元，其中：财政资金923.8万元，其他资金0万元，资金到位率为100%。</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截至2022年12月31日，项目实际支出923.8万元，资金预算执行率100%。资金用于支付城东金融贸易区范围内的各类零星维修改造、城东金融贸易区的深喀大道、城东大道、时代大道等城市主干道和大亚郎绿地、法桐公园周边的城市机动车道、人行道、绿化带的环境卫生等日常养护工作三个标段的项目尾款的支付及2022年绿化环卫公共服务一体化项目绿化养护面积933000㎡，道路清洁面积1095000㎡。</w:t>
      </w:r>
    </w:p>
    <w:p>
      <w:pPr>
        <w:pageBreakBefore w:val="0"/>
        <w:wordWrap/>
        <w:topLinePunct w:val="0"/>
        <w:bidi w:val="0"/>
        <w:adjustRightInd/>
        <w:spacing w:line="560" w:lineRule="exact"/>
        <w:textAlignment w:val="auto"/>
        <w:rPr>
          <w:rFonts w:hint="eastAsia" w:ascii="Times New Roman" w:hAnsi="Times New Roman" w:eastAsia="方正仿宋_GBK" w:cs="方正仿宋_GBK"/>
          <w:b/>
          <w:bCs/>
          <w:lang w:val="en-US" w:eastAsia="zh-CN"/>
        </w:rPr>
      </w:pPr>
      <w:bookmarkStart w:id="92" w:name="_Toc25856_WPSOffice_Level3"/>
      <w:r>
        <w:rPr>
          <w:rFonts w:hint="eastAsia" w:ascii="Times New Roman" w:hAnsi="Times New Roman" w:eastAsia="方正仿宋_GBK" w:cs="方正仿宋_GBK"/>
          <w:b/>
          <w:bCs/>
          <w:lang w:val="en-US" w:eastAsia="zh-CN"/>
        </w:rPr>
        <w:t>5.项目组织及管理情况</w:t>
      </w:r>
      <w:bookmarkEnd w:id="92"/>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(1)项目组织情况</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rPr>
        <w:t>城东金融贸易区市政维修安装、绿化养护项目严格落实项目管理制度，主要描述项目主管部门、牵头单位科室、实施部门、覆盖县级层面、项目实施地等相关人员的工作安排，明确职责分工，统一协调解决项目实施过程中出现的各类问题，确保项目的顺利实施。项目实施机构具体如下： 项目负责人：刘宣言，负责项目总体安排协调工作 项目实施人员：刘宣言，负责城东金融贸易区市政零星维修改造、环境卫生和绿化养护工作的具体实施，以及对项目的验收评估和日常考核工作。 财务负责人：卡力比努尔，负责对项目资金额度是否合适以及资金额度与项目实施内容的匹配程度进行审核等工作。</w:t>
      </w:r>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(2)项目管理情况</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该项目由刘宣言作为项目负责人，负责该项目的全盘组织实施；业务工作人员负责刘宣言；财务负责人卡力比努尔按照项目负责人提供的依据和发票等按项目进度向财政申请支付资金；通过业务与财务工作共同配合衔接，形成了明确责任分工的项目管理制度，并按照《喀什经济开发区绿地养护考核管理办法（试行）》、《喀什经济开发区环卫考核管理办法（试行）》、监督检查制度、预算绩效管理办法等相关制度办法严格落实各环节工作。</w:t>
      </w:r>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eastAsia="方正仿宋_GBK" w:cs="方正仿宋_GBK"/>
          <w:lang w:val="en-US" w:eastAsia="zh-CN"/>
        </w:rPr>
        <w:t>(3)项目财务管理情况</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该项目资金由喀什经济开发区城东金融贸易发展服务中心向喀什经济开发区财政金融局提交支付资金申请报告，经财经会审批通过后，由财政核拨，即由喀什经济开发区财政金融局将资金直接拨至项目实施企业账户，严格按照国库集中支付制度支付资金，项目资金到位足额及时，及时支付，资金使用符合国家法规和财务管理制度；资金拨付有完整的审批程序和手续，符合项目预算批复规定的用途；不存在截留、挤占、挪用、虚列支出等情况。</w:t>
      </w:r>
    </w:p>
    <w:p>
      <w:pPr>
        <w:pStyle w:val="5"/>
        <w:pageBreakBefore w:val="0"/>
        <w:wordWrap/>
        <w:topLinePunct w:val="0"/>
        <w:bidi w:val="0"/>
        <w:adjustRightInd/>
        <w:spacing w:line="560" w:lineRule="exact"/>
        <w:ind w:left="0" w:leftChars="0" w:firstLine="643" w:firstLineChars="200"/>
        <w:textAlignment w:val="auto"/>
        <w:rPr>
          <w:rFonts w:hint="eastAsia" w:ascii="Times New Roman" w:hAnsi="Times New Roman" w:eastAsia="方正仿宋_GBK" w:cs="方正仿宋_GBK"/>
          <w:lang w:val="en-US" w:eastAsia="zh-CN"/>
        </w:rPr>
      </w:pPr>
      <w:bookmarkStart w:id="93" w:name="_Toc14091"/>
      <w:bookmarkStart w:id="94" w:name="_Toc18734_WPSOffice_Level2"/>
      <w:r>
        <w:rPr>
          <w:rFonts w:hint="eastAsia" w:ascii="Times New Roman" w:hAnsi="Times New Roman" w:eastAsia="方正仿宋_GBK" w:cs="方正仿宋_GBK"/>
          <w:lang w:val="en-US" w:eastAsia="zh-CN"/>
        </w:rPr>
        <w:t>（二）</w:t>
      </w:r>
      <w:bookmarkStart w:id="95" w:name="（二）绩效目标"/>
      <w:bookmarkEnd w:id="95"/>
      <w:r>
        <w:rPr>
          <w:rFonts w:hint="eastAsia" w:ascii="Times New Roman" w:hAnsi="Times New Roman" w:eastAsia="方正仿宋_GBK" w:cs="方正仿宋_GBK"/>
          <w:lang w:val="en-US" w:eastAsia="zh-CN"/>
        </w:rPr>
        <w:t>项目绩效目标</w:t>
      </w:r>
      <w:bookmarkEnd w:id="87"/>
      <w:bookmarkEnd w:id="88"/>
      <w:bookmarkEnd w:id="89"/>
      <w:bookmarkEnd w:id="90"/>
      <w:bookmarkEnd w:id="93"/>
      <w:bookmarkEnd w:id="94"/>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96" w:name="_Toc2810_WPSOffice_Level3"/>
      <w:bookmarkStart w:id="97" w:name="_Toc12994"/>
      <w:bookmarkStart w:id="98" w:name="_Toc9707"/>
      <w:bookmarkStart w:id="99" w:name="_Toc26040"/>
      <w:bookmarkStart w:id="100" w:name="_Toc22409"/>
      <w:r>
        <w:rPr>
          <w:rFonts w:hint="eastAsia" w:ascii="Times New Roman" w:hAnsi="Times New Roman" w:eastAsia="方正仿宋_GBK" w:cs="方正仿宋_GBK"/>
          <w:lang w:val="en-US" w:eastAsia="zh-CN"/>
        </w:rPr>
        <w:t>1.项目绩效总目标</w:t>
      </w:r>
      <w:bookmarkEnd w:id="96"/>
    </w:p>
    <w:bookmarkEnd w:id="97"/>
    <w:bookmarkEnd w:id="98"/>
    <w:bookmarkEnd w:id="99"/>
    <w:bookmarkEnd w:id="100"/>
    <w:p>
      <w:pPr>
        <w:pageBreakBefore w:val="0"/>
        <w:wordWrap/>
        <w:topLinePunct w:val="0"/>
        <w:bidi w:val="0"/>
        <w:adjustRightInd/>
        <w:spacing w:line="560" w:lineRule="exact"/>
        <w:textAlignment w:val="auto"/>
        <w:rPr>
          <w:rFonts w:hint="eastAsia" w:ascii="Times New Roman" w:hAnsi="Times New Roman"/>
        </w:rPr>
      </w:pPr>
      <w:r>
        <w:rPr>
          <w:rFonts w:hint="eastAsia" w:ascii="Times New Roman" w:hAnsi="Times New Roman"/>
          <w:lang w:val="en-US" w:eastAsia="zh-CN"/>
        </w:rPr>
        <w:t>该项目主要用于城东金融贸易区范围内的各类零星维修改造；城东金融贸易区的深喀大道、城东大道、时代大道等城市主干道和大亚郎绿地、法桐公园周边的城市机动车道、人行道、绿化带的环境卫生等日常养护工作三个标段的项目尾款；2022年绿化环卫公共服务一体化项目绿化养护面积933000㎡，道路清洁面积1095000㎡。通过实施该项目直接服务于广大人民群众，是城市经济高效化和可持续发展的重要条件之一，同时促进整个区域生活环境提高，为居民提供良好的生态生活环境。</w:t>
      </w:r>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01" w:name="_Toc13626_WPSOffice_Level3"/>
      <w:r>
        <w:rPr>
          <w:rFonts w:hint="eastAsia" w:ascii="Times New Roman" w:hAnsi="Times New Roman" w:eastAsia="方正仿宋_GBK" w:cs="方正仿宋_GBK"/>
          <w:lang w:val="en-US" w:eastAsia="zh-CN"/>
        </w:rPr>
        <w:t>2.阶段性目标</w:t>
      </w:r>
      <w:bookmarkEnd w:id="101"/>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截止2022年12月31日，完成了城东金融贸易区范围内的各类零星维修改造；城东金融贸易区的深喀大道、城东大道、时代大道等城市主干道和大亚郎绿地、法桐公园周边的城市机动车道、人行道、绿化带的环境卫生等日常养护工作三个标段的项目尾款；支付大亚郎游步道周边种植草坪项目尾款；2022年绿化环卫公共服务一体化项目绿化养护面积933000㎡，道路清洁面积1095000㎡。通过实施该项目直接服务于广大人民群众，是城市经济高效化和可持续发展的重要条件之一，同时促进整个区域生活环境提高，为居民提供良好的生态生活环境。</w:t>
      </w:r>
    </w:p>
    <w:p>
      <w:pPr>
        <w:pStyle w:val="6"/>
        <w:pageBreakBefore w:val="0"/>
        <w:numPr>
          <w:ilvl w:val="0"/>
          <w:numId w:val="1"/>
        </w:numPr>
        <w:wordWrap/>
        <w:topLinePunct w:val="0"/>
        <w:bidi w:val="0"/>
        <w:adjustRightInd/>
        <w:spacing w:line="560" w:lineRule="exact"/>
        <w:textAlignment w:val="auto"/>
        <w:rPr>
          <w:rFonts w:hint="eastAsia" w:ascii="Times New Roman" w:hAnsi="Times New Roman"/>
          <w:lang w:val="en-US" w:eastAsia="zh-CN"/>
        </w:rPr>
      </w:pPr>
      <w:bookmarkStart w:id="102" w:name="_Toc30690_WPSOffice_Level3"/>
      <w:r>
        <w:rPr>
          <w:rFonts w:hint="eastAsia" w:ascii="Times New Roman" w:hAnsi="Times New Roman" w:cs="方正仿宋_GBK"/>
          <w:lang w:val="en-US" w:eastAsia="zh-CN"/>
        </w:rPr>
        <w:t>具体绩效目标</w:t>
      </w:r>
      <w:bookmarkEnd w:id="102"/>
    </w:p>
    <w:p>
      <w:pPr>
        <w:pStyle w:val="42"/>
        <w:pageBreakBefore w:val="0"/>
        <w:numPr>
          <w:ilvl w:val="0"/>
          <w:numId w:val="0"/>
        </w:numPr>
        <w:wordWrap/>
        <w:topLinePunct w:val="0"/>
        <w:bidi w:val="0"/>
        <w:adjustRightInd/>
        <w:spacing w:line="560" w:lineRule="exact"/>
        <w:ind w:firstLine="636" w:firstLineChars="200"/>
        <w:jc w:val="both"/>
        <w:rPr>
          <w:rFonts w:hint="eastAsia" w:ascii="Times New Roman" w:hAnsi="Times New Roman" w:eastAsia="方正仿宋_GBK" w:cs="方正仿宋_GBK"/>
          <w:b/>
          <w:bCs w:val="0"/>
          <w:spacing w:val="-1"/>
          <w:szCs w:val="32"/>
          <w:lang w:val="en-US" w:eastAsia="zh-CN"/>
        </w:rPr>
      </w:pPr>
      <w:r>
        <w:rPr>
          <w:rFonts w:hint="eastAsia" w:ascii="方正仿宋_GBK" w:hAnsi="方正仿宋_GBK" w:eastAsia="方正仿宋_GBK" w:cs="方正仿宋_GBK"/>
          <w:b w:val="0"/>
          <w:bCs/>
          <w:spacing w:val="-1"/>
          <w:szCs w:val="32"/>
          <w:lang w:val="en-US" w:eastAsia="zh-CN"/>
        </w:rPr>
        <w:t>城东金融贸易区市政维修安装、绿化养护项目</w:t>
      </w:r>
      <w:r>
        <w:rPr>
          <w:rFonts w:hint="eastAsia" w:cs="方正仿宋_GBK"/>
          <w:b w:val="0"/>
          <w:bCs/>
          <w:color w:val="auto"/>
          <w:sz w:val="32"/>
          <w:szCs w:val="32"/>
          <w:lang w:val="en-US" w:eastAsia="zh-CN"/>
        </w:rPr>
        <w:t>预算</w:t>
      </w:r>
      <w:r>
        <w:rPr>
          <w:rFonts w:hint="eastAsia" w:eastAsia="方正仿宋_GBK" w:cs="方正仿宋_GBK"/>
          <w:b w:val="0"/>
          <w:bCs/>
        </w:rPr>
        <w:t>资金</w:t>
      </w:r>
      <w:r>
        <w:rPr>
          <w:rFonts w:hint="eastAsia" w:cs="方正仿宋_GBK"/>
          <w:b w:val="0"/>
          <w:bCs/>
          <w:kern w:val="2"/>
          <w:sz w:val="32"/>
          <w:szCs w:val="32"/>
          <w:highlight w:val="none"/>
          <w:lang w:val="en-US" w:eastAsia="zh-CN" w:bidi="zh-CN"/>
        </w:rPr>
        <w:t>923.8</w:t>
      </w:r>
      <w:r>
        <w:rPr>
          <w:rFonts w:hint="eastAsia" w:ascii="方正仿宋_GBK" w:hAnsi="方正仿宋_GBK" w:eastAsia="方正仿宋_GBK" w:cs="方正仿宋_GBK"/>
          <w:b w:val="0"/>
          <w:bCs/>
          <w:kern w:val="2"/>
          <w:sz w:val="32"/>
          <w:szCs w:val="32"/>
          <w:highlight w:val="none"/>
          <w:lang w:val="en-US" w:eastAsia="zh-CN" w:bidi="zh-CN"/>
        </w:rPr>
        <w:t>万元。设置了3个一级指标，</w:t>
      </w:r>
      <w:r>
        <w:rPr>
          <w:rFonts w:hint="eastAsia" w:cs="方正仿宋_GBK"/>
          <w:b w:val="0"/>
          <w:bCs/>
          <w:kern w:val="2"/>
          <w:sz w:val="32"/>
          <w:szCs w:val="32"/>
          <w:highlight w:val="none"/>
          <w:lang w:val="en-US" w:eastAsia="zh-CN" w:bidi="zh-CN"/>
        </w:rPr>
        <w:t>7</w:t>
      </w:r>
      <w:r>
        <w:rPr>
          <w:rFonts w:hint="eastAsia" w:ascii="方正仿宋_GBK" w:hAnsi="方正仿宋_GBK" w:eastAsia="方正仿宋_GBK" w:cs="方正仿宋_GBK"/>
          <w:b w:val="0"/>
          <w:bCs/>
          <w:kern w:val="2"/>
          <w:sz w:val="32"/>
          <w:szCs w:val="32"/>
          <w:highlight w:val="none"/>
          <w:lang w:val="en-US" w:eastAsia="zh-CN" w:bidi="zh-CN"/>
        </w:rPr>
        <w:t>个二级指标，</w:t>
      </w:r>
      <w:r>
        <w:rPr>
          <w:rFonts w:hint="eastAsia" w:cs="方正仿宋_GBK"/>
          <w:b w:val="0"/>
          <w:bCs/>
          <w:kern w:val="2"/>
          <w:sz w:val="32"/>
          <w:szCs w:val="32"/>
          <w:highlight w:val="none"/>
          <w:lang w:val="en-US" w:eastAsia="zh-CN" w:bidi="zh-CN"/>
        </w:rPr>
        <w:t>13</w:t>
      </w:r>
      <w:r>
        <w:rPr>
          <w:rFonts w:hint="eastAsia" w:ascii="方正仿宋_GBK" w:hAnsi="方正仿宋_GBK" w:eastAsia="方正仿宋_GBK" w:cs="方正仿宋_GBK"/>
          <w:b w:val="0"/>
          <w:bCs/>
          <w:kern w:val="2"/>
          <w:sz w:val="32"/>
          <w:szCs w:val="32"/>
          <w:highlight w:val="none"/>
          <w:lang w:val="en-US" w:eastAsia="zh-CN" w:bidi="zh-CN"/>
        </w:rPr>
        <w:t>个三级指标，其中包括：</w:t>
      </w:r>
    </w:p>
    <w:p>
      <w:pPr>
        <w:numPr>
          <w:ilvl w:val="0"/>
          <w:numId w:val="0"/>
        </w:numPr>
        <w:jc w:val="center"/>
        <w:rPr>
          <w:rFonts w:hint="eastAsia" w:ascii="Times New Roman" w:hAnsi="Times New Roman" w:cs="方正仿宋_GBK"/>
          <w:b/>
          <w:bCs w:val="0"/>
          <w:spacing w:val="-1"/>
          <w:szCs w:val="32"/>
          <w:lang w:val="en-US" w:eastAsia="zh-CN"/>
        </w:rPr>
      </w:pPr>
      <w:bookmarkStart w:id="103" w:name="_Toc14327_WPSOffice_Level2"/>
      <w:r>
        <w:rPr>
          <w:rFonts w:hint="eastAsia" w:ascii="Times New Roman" w:hAnsi="Times New Roman" w:eastAsia="方正仿宋_GBK" w:cs="方正仿宋_GBK"/>
          <w:b/>
          <w:bCs w:val="0"/>
          <w:spacing w:val="-1"/>
          <w:szCs w:val="32"/>
          <w:lang w:val="en-US" w:eastAsia="zh-CN"/>
        </w:rPr>
        <w:t>城东金融贸易区市政维修安装、绿化养护项目</w:t>
      </w:r>
      <w:r>
        <w:rPr>
          <w:rFonts w:hint="eastAsia" w:ascii="Times New Roman" w:hAnsi="Times New Roman" w:cs="方正仿宋_GBK"/>
          <w:b/>
          <w:bCs w:val="0"/>
          <w:spacing w:val="-1"/>
          <w:szCs w:val="32"/>
          <w:lang w:val="en-US" w:eastAsia="zh-CN"/>
        </w:rPr>
        <w:t>2022年度</w:t>
      </w:r>
      <w:bookmarkEnd w:id="103"/>
    </w:p>
    <w:p>
      <w:pPr>
        <w:numPr>
          <w:ilvl w:val="0"/>
          <w:numId w:val="0"/>
        </w:numPr>
        <w:jc w:val="center"/>
        <w:rPr>
          <w:rFonts w:hint="eastAsia" w:ascii="Times New Roman" w:hAnsi="Times New Roman" w:eastAsia="方正仿宋_GBK"/>
          <w:b/>
          <w:bCs w:val="0"/>
          <w:lang w:val="en-US" w:eastAsia="zh-CN"/>
        </w:rPr>
      </w:pPr>
      <w:bookmarkStart w:id="104" w:name="_Toc10081_WPSOffice_Level2"/>
      <w:r>
        <w:rPr>
          <w:rFonts w:hint="eastAsia" w:ascii="Times New Roman" w:hAnsi="Times New Roman" w:eastAsia="方正仿宋_GBK" w:cs="方正仿宋_GBK"/>
          <w:b/>
          <w:bCs w:val="0"/>
          <w:spacing w:val="-1"/>
          <w:szCs w:val="32"/>
        </w:rPr>
        <w:t>绩效</w:t>
      </w:r>
      <w:r>
        <w:rPr>
          <w:rFonts w:hint="eastAsia" w:ascii="Times New Roman" w:hAnsi="Times New Roman" w:cs="方正仿宋_GBK"/>
          <w:b/>
          <w:bCs w:val="0"/>
          <w:spacing w:val="-1"/>
          <w:szCs w:val="32"/>
          <w:lang w:eastAsia="zh-CN"/>
        </w:rPr>
        <w:t>目标表</w:t>
      </w:r>
      <w:bookmarkEnd w:id="104"/>
    </w:p>
    <w:tbl>
      <w:tblPr>
        <w:tblStyle w:val="17"/>
        <w:tblpPr w:leftFromText="180" w:rightFromText="180" w:vertAnchor="text" w:tblpXSpec="center"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2357"/>
        <w:gridCol w:w="3269"/>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pStyle w:val="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一级指标</w:t>
            </w:r>
          </w:p>
        </w:tc>
        <w:tc>
          <w:tcPr>
            <w:tcW w:w="1301" w:type="pct"/>
            <w:vAlign w:val="center"/>
          </w:tcPr>
          <w:p>
            <w:pPr>
              <w:pStyle w:val="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二级指标</w:t>
            </w:r>
          </w:p>
        </w:tc>
        <w:tc>
          <w:tcPr>
            <w:tcW w:w="1804" w:type="pct"/>
            <w:vAlign w:val="center"/>
          </w:tcPr>
          <w:p>
            <w:pPr>
              <w:pStyle w:val="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三级指标</w:t>
            </w:r>
          </w:p>
        </w:tc>
        <w:tc>
          <w:tcPr>
            <w:tcW w:w="1232" w:type="pct"/>
            <w:vAlign w:val="center"/>
          </w:tcPr>
          <w:p>
            <w:pPr>
              <w:pStyle w:val="4"/>
              <w:keepNext w:val="0"/>
              <w:keepLines w:val="0"/>
              <w:pageBreakBefore w:val="0"/>
              <w:widowControl w:val="0"/>
              <w:suppressLineNumbers w:val="0"/>
              <w:kinsoku w:val="0"/>
              <w:wordWrap/>
              <w:overflowPunct w:val="0"/>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rPr>
                <w:rFonts w:hint="default" w:ascii="Times New Roman" w:hAnsi="Times New Roman" w:eastAsia="方正仿宋_GBK" w:cs="Times New Roman"/>
                <w:b w:val="0"/>
                <w:bCs w:val="0"/>
                <w:color w:val="auto"/>
                <w:kern w:val="2"/>
                <w:sz w:val="24"/>
                <w:szCs w:val="24"/>
                <w:highlight w:val="none"/>
                <w:vertAlign w:val="baseline"/>
                <w:lang w:val="en-US" w:eastAsia="zh-CN" w:bidi="zh-CN"/>
              </w:rPr>
            </w:pPr>
            <w:r>
              <w:rPr>
                <w:rFonts w:hint="default" w:ascii="Times New Roman" w:hAnsi="Times New Roman" w:eastAsia="方正仿宋_GBK" w:cs="Times New Roman"/>
                <w:b w:val="0"/>
                <w:bCs w:val="0"/>
                <w:color w:val="auto"/>
                <w:kern w:val="2"/>
                <w:sz w:val="24"/>
                <w:szCs w:val="24"/>
                <w:highlight w:val="none"/>
                <w:vertAlign w:val="baseline"/>
                <w:lang w:val="en-US" w:eastAsia="zh-CN" w:bidi="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1" w:type="pct"/>
            <w:vMerge w:val="restar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产出指标</w:t>
            </w:r>
          </w:p>
        </w:tc>
        <w:tc>
          <w:tcPr>
            <w:tcW w:w="1301" w:type="pct"/>
            <w:vMerge w:val="restar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产出数量</w:t>
            </w:r>
          </w:p>
        </w:tc>
        <w:tc>
          <w:tcPr>
            <w:tcW w:w="1804"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支付尾款项目数量</w:t>
            </w:r>
          </w:p>
        </w:tc>
        <w:tc>
          <w:tcPr>
            <w:tcW w:w="1232"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1" w:type="pct"/>
            <w:vMerge w:val="continue"/>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p>
        </w:tc>
        <w:tc>
          <w:tcPr>
            <w:tcW w:w="1301" w:type="pct"/>
            <w:vMerge w:val="continue"/>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p>
        </w:tc>
        <w:tc>
          <w:tcPr>
            <w:tcW w:w="1804"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绿化养护面积</w:t>
            </w:r>
          </w:p>
        </w:tc>
        <w:tc>
          <w:tcPr>
            <w:tcW w:w="1232"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≥933000平方米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p>
        </w:tc>
        <w:tc>
          <w:tcPr>
            <w:tcW w:w="1301" w:type="pct"/>
            <w:vMerge w:val="continue"/>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p>
        </w:tc>
        <w:tc>
          <w:tcPr>
            <w:tcW w:w="1804"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道路清洁面积</w:t>
            </w:r>
          </w:p>
        </w:tc>
        <w:tc>
          <w:tcPr>
            <w:tcW w:w="1232"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≥1095000平方米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p>
        </w:tc>
        <w:tc>
          <w:tcPr>
            <w:tcW w:w="1301"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产出质量</w:t>
            </w:r>
          </w:p>
        </w:tc>
        <w:tc>
          <w:tcPr>
            <w:tcW w:w="1804"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项目验收合格率</w:t>
            </w:r>
          </w:p>
        </w:tc>
        <w:tc>
          <w:tcPr>
            <w:tcW w:w="1232"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p>
        </w:tc>
        <w:tc>
          <w:tcPr>
            <w:tcW w:w="1301"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产出时效</w:t>
            </w:r>
          </w:p>
        </w:tc>
        <w:tc>
          <w:tcPr>
            <w:tcW w:w="1804"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资金到位及时率</w:t>
            </w:r>
          </w:p>
        </w:tc>
        <w:tc>
          <w:tcPr>
            <w:tcW w:w="1232"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p>
        </w:tc>
        <w:tc>
          <w:tcPr>
            <w:tcW w:w="1301" w:type="pct"/>
            <w:vMerge w:val="restar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产出成本</w:t>
            </w:r>
          </w:p>
        </w:tc>
        <w:tc>
          <w:tcPr>
            <w:tcW w:w="1804"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零星维修改造工程尾款</w:t>
            </w:r>
          </w:p>
        </w:tc>
        <w:tc>
          <w:tcPr>
            <w:tcW w:w="1232"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≤308.17万元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p>
        </w:tc>
        <w:tc>
          <w:tcPr>
            <w:tcW w:w="1301" w:type="pct"/>
            <w:vMerge w:val="continue"/>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p>
        </w:tc>
        <w:tc>
          <w:tcPr>
            <w:tcW w:w="1804"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2021年绿化环卫公共服务一体化项目三个标段尾款</w:t>
            </w:r>
          </w:p>
        </w:tc>
        <w:tc>
          <w:tcPr>
            <w:tcW w:w="1232"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≤205.58万元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p>
        </w:tc>
        <w:tc>
          <w:tcPr>
            <w:tcW w:w="1301" w:type="pct"/>
            <w:vMerge w:val="continue"/>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p>
        </w:tc>
        <w:tc>
          <w:tcPr>
            <w:tcW w:w="1804"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大亚郎游步道周边种植草坪项目</w:t>
            </w:r>
          </w:p>
        </w:tc>
        <w:tc>
          <w:tcPr>
            <w:tcW w:w="1232"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≤2.02万元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p>
        </w:tc>
        <w:tc>
          <w:tcPr>
            <w:tcW w:w="1301" w:type="pct"/>
            <w:vMerge w:val="continue"/>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p>
        </w:tc>
        <w:tc>
          <w:tcPr>
            <w:tcW w:w="1804"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2022年绿化养护、道路清洁</w:t>
            </w:r>
          </w:p>
        </w:tc>
        <w:tc>
          <w:tcPr>
            <w:tcW w:w="1232"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≤243万元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p>
        </w:tc>
        <w:tc>
          <w:tcPr>
            <w:tcW w:w="1301" w:type="pct"/>
            <w:vMerge w:val="continue"/>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p>
        </w:tc>
        <w:tc>
          <w:tcPr>
            <w:tcW w:w="1804"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城东金融贸易区绿化管护</w:t>
            </w:r>
          </w:p>
        </w:tc>
        <w:tc>
          <w:tcPr>
            <w:tcW w:w="1232"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≤165.03万元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restar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效益指标</w:t>
            </w:r>
          </w:p>
        </w:tc>
        <w:tc>
          <w:tcPr>
            <w:tcW w:w="1301"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社会效益指标</w:t>
            </w:r>
          </w:p>
        </w:tc>
        <w:tc>
          <w:tcPr>
            <w:tcW w:w="1804"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促进整个区域生活环境提升</w:t>
            </w:r>
          </w:p>
        </w:tc>
        <w:tc>
          <w:tcPr>
            <w:tcW w:w="1232"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有效促进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p>
        </w:tc>
        <w:tc>
          <w:tcPr>
            <w:tcW w:w="1301"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可持续影响指标</w:t>
            </w:r>
          </w:p>
        </w:tc>
        <w:tc>
          <w:tcPr>
            <w:tcW w:w="1804"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受益年限</w:t>
            </w:r>
          </w:p>
        </w:tc>
        <w:tc>
          <w:tcPr>
            <w:tcW w:w="1232"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满意度</w:t>
            </w:r>
          </w:p>
        </w:tc>
        <w:tc>
          <w:tcPr>
            <w:tcW w:w="1301"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服务对象满意度指标</w:t>
            </w:r>
          </w:p>
        </w:tc>
        <w:tc>
          <w:tcPr>
            <w:tcW w:w="1804"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城东金融贸易区居民满意度</w:t>
            </w:r>
          </w:p>
        </w:tc>
        <w:tc>
          <w:tcPr>
            <w:tcW w:w="1232" w:type="pct"/>
            <w:vAlign w:val="center"/>
          </w:tcPr>
          <w:p>
            <w:pPr>
              <w:pStyle w:val="6"/>
              <w:pageBreakBefore w:val="0"/>
              <w:suppressLineNumbers w:val="0"/>
              <w:wordWrap/>
              <w:topLinePunct w:val="0"/>
              <w:bidi w:val="0"/>
              <w:adjustRightInd/>
              <w:spacing w:before="0" w:after="0" w:line="560" w:lineRule="exact"/>
              <w:ind w:left="0" w:leftChars="0" w:right="0" w:firstLine="0" w:firstLineChars="0"/>
              <w:jc w:val="left"/>
              <w:textAlignment w:val="auto"/>
              <w:rPr>
                <w:rFonts w:hint="default" w:ascii="Times New Roman" w:hAnsi="Times New Roman" w:eastAsia="方正仿宋_GBK" w:cs="Times New Roman"/>
                <w:b w:val="0"/>
                <w:bCs/>
                <w:sz w:val="24"/>
                <w:szCs w:val="20"/>
                <w:vertAlign w:val="baseline"/>
                <w:lang w:val="en-US" w:eastAsia="zh-CN"/>
              </w:rPr>
            </w:pPr>
            <w:r>
              <w:rPr>
                <w:rFonts w:hint="default" w:ascii="Times New Roman" w:hAnsi="Times New Roman" w:eastAsia="方正仿宋_GBK" w:cs="Times New Roman"/>
                <w:b w:val="0"/>
                <w:bCs/>
                <w:sz w:val="24"/>
                <w:szCs w:val="20"/>
                <w:vertAlign w:val="baseline"/>
                <w:lang w:val="en-US" w:eastAsia="zh-CN"/>
              </w:rPr>
              <w:t>≥95%</w:t>
            </w:r>
          </w:p>
        </w:tc>
      </w:tr>
    </w:tbl>
    <w:p>
      <w:pPr>
        <w:pStyle w:val="4"/>
        <w:pageBreakBefore w:val="0"/>
        <w:wordWrap/>
        <w:topLinePunct w:val="0"/>
        <w:bidi w:val="0"/>
        <w:adjustRightInd/>
        <w:spacing w:line="560" w:lineRule="exact"/>
        <w:textAlignment w:val="auto"/>
        <w:rPr>
          <w:rFonts w:hint="eastAsia" w:ascii="方正黑体_GBK" w:hAnsi="方正黑体_GBK" w:eastAsia="方正黑体_GBK" w:cs="方正黑体_GBK"/>
          <w:b/>
          <w:bCs/>
          <w:kern w:val="2"/>
          <w:sz w:val="32"/>
          <w:szCs w:val="32"/>
          <w:lang w:val="en-US" w:eastAsia="zh-CN" w:bidi="zh-CN"/>
        </w:rPr>
      </w:pPr>
      <w:bookmarkStart w:id="105" w:name="_Toc27342"/>
      <w:bookmarkStart w:id="106" w:name="_Toc19627"/>
      <w:bookmarkStart w:id="107" w:name="_Toc2612"/>
      <w:bookmarkStart w:id="108" w:name="_Toc14327_WPSOffice_Level1"/>
      <w:bookmarkStart w:id="109" w:name="_Toc14745"/>
      <w:bookmarkStart w:id="110" w:name="_Toc15932"/>
      <w:bookmarkStart w:id="111" w:name="_Toc24088"/>
      <w:r>
        <w:rPr>
          <w:rFonts w:hint="eastAsia" w:ascii="方正黑体_GBK" w:hAnsi="方正黑体_GBK" w:eastAsia="方正黑体_GBK" w:cs="方正黑体_GBK"/>
          <w:b/>
          <w:bCs/>
          <w:kern w:val="2"/>
          <w:sz w:val="32"/>
          <w:szCs w:val="32"/>
          <w:lang w:val="en-US" w:eastAsia="zh-CN" w:bidi="zh-CN"/>
        </w:rPr>
        <w:t>二、绩效评价工作开展情况</w:t>
      </w:r>
      <w:bookmarkEnd w:id="105"/>
      <w:bookmarkEnd w:id="106"/>
      <w:bookmarkEnd w:id="107"/>
      <w:bookmarkEnd w:id="108"/>
      <w:bookmarkEnd w:id="109"/>
      <w:bookmarkEnd w:id="110"/>
      <w:bookmarkEnd w:id="111"/>
      <w:bookmarkStart w:id="112" w:name="_TOC_250000"/>
      <w:bookmarkEnd w:id="112"/>
    </w:p>
    <w:p>
      <w:pPr>
        <w:pStyle w:val="5"/>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13" w:name="_Toc596"/>
      <w:bookmarkStart w:id="114" w:name="_Toc19016"/>
      <w:bookmarkStart w:id="115" w:name="_Toc192"/>
      <w:bookmarkStart w:id="116" w:name="_Toc25856_WPSOffice_Level2"/>
      <w:bookmarkStart w:id="117" w:name="_Toc5198"/>
      <w:bookmarkStart w:id="118" w:name="_Toc14263"/>
      <w:r>
        <w:rPr>
          <w:rFonts w:hint="eastAsia" w:ascii="Times New Roman" w:hAnsi="Times New Roman" w:eastAsia="方正仿宋_GBK" w:cs="方正仿宋_GBK"/>
          <w:lang w:val="en-US" w:eastAsia="zh-CN"/>
        </w:rPr>
        <w:t>（一）绩效评价目的、对象和范围</w:t>
      </w:r>
      <w:bookmarkEnd w:id="113"/>
      <w:bookmarkEnd w:id="114"/>
      <w:bookmarkEnd w:id="115"/>
      <w:bookmarkEnd w:id="116"/>
      <w:bookmarkEnd w:id="117"/>
      <w:bookmarkEnd w:id="118"/>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19" w:name="_Toc15860"/>
      <w:bookmarkStart w:id="120" w:name="_Toc27103_WPSOffice_Level3"/>
      <w:r>
        <w:rPr>
          <w:rFonts w:hint="eastAsia" w:ascii="Times New Roman" w:hAnsi="Times New Roman" w:eastAsia="方正仿宋_GBK" w:cs="方正仿宋_GBK"/>
          <w:lang w:val="en-US" w:eastAsia="zh-CN"/>
        </w:rPr>
        <w:t>1.绩效评价目的</w:t>
      </w:r>
      <w:bookmarkEnd w:id="119"/>
      <w:bookmarkEnd w:id="120"/>
    </w:p>
    <w:p>
      <w:pPr>
        <w:pageBreakBefore w:val="0"/>
        <w:wordWrap/>
        <w:topLinePunct w:val="0"/>
        <w:bidi w:val="0"/>
        <w:adjustRightInd/>
        <w:spacing w:line="560" w:lineRule="exact"/>
        <w:textAlignment w:val="auto"/>
        <w:rPr>
          <w:rFonts w:hint="eastAsia" w:ascii="Times New Roman" w:hAnsi="Times New Roman"/>
          <w:lang w:val="en-US" w:eastAsia="zh-CN"/>
        </w:rPr>
      </w:pPr>
      <w:bookmarkStart w:id="121" w:name="_Toc4347"/>
      <w:r>
        <w:rPr>
          <w:rFonts w:hint="eastAsia" w:ascii="Times New Roman" w:hAnsi="Times New Roman"/>
          <w:lang w:val="en-US" w:eastAsia="zh-CN"/>
        </w:rPr>
        <w:t>本次绩效评价遵循财政部《项目支出绩效评价管理办法》（财预〔2020〕10号）和自治区财政厅《自治区财政支出绩效评价管理暂行办法》（新财预〔2018〕189号）、</w:t>
      </w:r>
      <w:r>
        <w:rPr>
          <w:rFonts w:hint="eastAsia" w:ascii="Times New Roman" w:hAnsi="Times New Roman" w:eastAsia="方正仿宋_GBK" w:cs="方正仿宋_GBK"/>
          <w:kern w:val="0"/>
          <w:sz w:val="32"/>
          <w:szCs w:val="32"/>
          <w:lang w:bidi="en-US"/>
        </w:rPr>
        <w:t>《自治区全面实施预算绩效管理的工作方案》（新财预〔2018〕158号）、《项目支出绩效评价管理办法》（财预〔2020〕10号）</w:t>
      </w:r>
      <w:r>
        <w:rPr>
          <w:rFonts w:hint="eastAsia" w:ascii="Times New Roman" w:hAnsi="Times New Roman"/>
          <w:lang w:val="en-US" w:eastAsia="zh-CN"/>
        </w:rPr>
        <w:t>等相关政策文件与规定，旨在评价</w:t>
      </w:r>
      <w:r>
        <w:rPr>
          <w:rFonts w:hint="eastAsia" w:ascii="Times New Roman" w:hAnsi="Times New Roman" w:eastAsia="方正仿宋_GBK" w:cs="方正仿宋_GBK"/>
          <w:b w:val="0"/>
          <w:bCs/>
          <w:spacing w:val="-1"/>
          <w:szCs w:val="32"/>
          <w:lang w:val="en-US" w:eastAsia="zh-CN"/>
        </w:rPr>
        <w:t>城东金融贸易区市政维修安装、绿化养护项目</w:t>
      </w:r>
      <w:r>
        <w:rPr>
          <w:rFonts w:hint="eastAsia" w:ascii="Times New Roman" w:hAnsi="Times New Roman"/>
          <w:b w:val="0"/>
          <w:bCs/>
          <w:lang w:val="en-US" w:eastAsia="zh-CN"/>
        </w:rPr>
        <w:t>实施前期、过程及效果，评</w:t>
      </w:r>
      <w:r>
        <w:rPr>
          <w:rFonts w:hint="eastAsia" w:ascii="Times New Roman" w:hAnsi="Times New Roman"/>
          <w:lang w:val="en-US" w:eastAsia="zh-CN"/>
        </w:rPr>
        <w:t>价财政预算资金使用的效率及效益。</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绩效评价的目的是发现预算资金在</w:t>
      </w:r>
      <w:r>
        <w:rPr>
          <w:rFonts w:hint="eastAsia" w:ascii="Times New Roman" w:hAnsi="Times New Roman" w:eastAsia="方正仿宋_GBK" w:cs="方正仿宋_GBK"/>
          <w:b w:val="0"/>
          <w:bCs/>
          <w:spacing w:val="-1"/>
          <w:szCs w:val="32"/>
          <w:lang w:val="en-US" w:eastAsia="zh-CN"/>
        </w:rPr>
        <w:t>城东金融贸易区市政维修安装、绿化养护项目</w:t>
      </w:r>
      <w:r>
        <w:rPr>
          <w:rFonts w:hint="eastAsia" w:ascii="Times New Roman" w:hAnsi="Times New Roman"/>
          <w:b w:val="0"/>
          <w:bCs/>
          <w:lang w:val="en-US" w:eastAsia="zh-CN"/>
        </w:rPr>
        <w:t>立</w:t>
      </w:r>
      <w:r>
        <w:rPr>
          <w:rFonts w:hint="eastAsia" w:ascii="Times New Roman" w:hAnsi="Times New Roman"/>
          <w:lang w:val="en-US" w:eastAsia="zh-CN"/>
        </w:rPr>
        <w:t>项、执行管理中制度保障、实际操作方面的缺陷和薄弱环节，同时总结提炼项目和部门的经验做法，为预算部门改进、完善项目管理和预算管理提供可行性参考建议，也为下一年预算编制与评审提供充分有效的依据，以达到改进预算管理、优化资源配置、提高预算资金使用效益的目的。</w:t>
      </w:r>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22" w:name="_Toc11136_WPSOffice_Level3"/>
      <w:r>
        <w:rPr>
          <w:rFonts w:hint="eastAsia" w:ascii="Times New Roman" w:hAnsi="Times New Roman" w:eastAsia="方正仿宋_GBK" w:cs="方正仿宋_GBK"/>
          <w:lang w:val="en-US" w:eastAsia="zh-CN"/>
        </w:rPr>
        <w:t>2.绩效评价对象</w:t>
      </w:r>
      <w:bookmarkEnd w:id="121"/>
      <w:bookmarkEnd w:id="122"/>
    </w:p>
    <w:p>
      <w:pPr>
        <w:pageBreakBefore w:val="0"/>
        <w:wordWrap/>
        <w:topLinePunct w:val="0"/>
        <w:bidi w:val="0"/>
        <w:adjustRightInd/>
        <w:spacing w:line="560" w:lineRule="exact"/>
        <w:textAlignment w:val="auto"/>
        <w:rPr>
          <w:rFonts w:hint="eastAsia" w:ascii="Times New Roman" w:hAnsi="Times New Roman"/>
        </w:rPr>
      </w:pPr>
      <w:r>
        <w:rPr>
          <w:rFonts w:hint="eastAsia" w:ascii="Times New Roman" w:hAnsi="Times New Roman"/>
          <w:lang w:val="en-US" w:eastAsia="zh-CN"/>
        </w:rPr>
        <w:t>本次绩效评价遵循财政部《项目支出绩效评价管理办法》（财预〔2020〕10号）和自治区财政厅《自治区财政支出绩效评价管理暂行办法》（新财预〔2018〕189号）、</w:t>
      </w:r>
      <w:r>
        <w:rPr>
          <w:rFonts w:hint="eastAsia" w:ascii="Times New Roman" w:hAnsi="Times New Roman" w:eastAsia="方正仿宋_GBK" w:cs="方正仿宋_GBK"/>
          <w:kern w:val="0"/>
          <w:sz w:val="32"/>
          <w:szCs w:val="32"/>
          <w:lang w:bidi="en-US"/>
        </w:rPr>
        <w:t>《自治区全面实施预算绩效管理的工作方案》（新财预〔2018〕158号）、《项目支出绩效评价管理办法》（财预〔2020〕10号）</w:t>
      </w:r>
      <w:r>
        <w:rPr>
          <w:rFonts w:hint="eastAsia" w:ascii="Times New Roman" w:hAnsi="Times New Roman"/>
          <w:lang w:val="en-US" w:eastAsia="zh-CN"/>
        </w:rPr>
        <w:t>等相关政策文件与规定，</w:t>
      </w:r>
      <w:r>
        <w:rPr>
          <w:rFonts w:hint="eastAsia" w:ascii="Times New Roman" w:hAnsi="Times New Roman"/>
          <w:lang w:eastAsia="zh-CN"/>
        </w:rPr>
        <w:t>对</w:t>
      </w:r>
      <w:r>
        <w:rPr>
          <w:rFonts w:hint="eastAsia" w:ascii="Times New Roman" w:hAnsi="Times New Roman"/>
          <w:lang w:val="en-US" w:eastAsia="zh-CN"/>
        </w:rPr>
        <w:t>城东金融贸易区市政维修安装、绿化养护项目</w:t>
      </w:r>
      <w:r>
        <w:rPr>
          <w:rFonts w:hint="eastAsia" w:ascii="Times New Roman" w:hAnsi="Times New Roman"/>
          <w:lang w:eastAsia="zh-CN"/>
        </w:rPr>
        <w:t>展开评价，主要评价该项目的投入、产出及效益</w:t>
      </w:r>
      <w:r>
        <w:rPr>
          <w:rFonts w:hint="eastAsia" w:ascii="Times New Roman" w:hAnsi="Times New Roman"/>
        </w:rPr>
        <w:t>。</w:t>
      </w:r>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23" w:name="_Toc28781"/>
      <w:bookmarkStart w:id="124" w:name="_Toc3971_WPSOffice_Level3"/>
      <w:r>
        <w:rPr>
          <w:rFonts w:hint="eastAsia" w:ascii="Times New Roman" w:hAnsi="Times New Roman" w:eastAsia="方正仿宋_GBK" w:cs="方正仿宋_GBK"/>
          <w:lang w:val="en-US" w:eastAsia="zh-CN"/>
        </w:rPr>
        <w:t>3.绩效评价范围</w:t>
      </w:r>
      <w:bookmarkEnd w:id="123"/>
      <w:bookmarkEnd w:id="124"/>
    </w:p>
    <w:p>
      <w:pPr>
        <w:pageBreakBefore w:val="0"/>
        <w:wordWrap/>
        <w:topLinePunct w:val="0"/>
        <w:bidi w:val="0"/>
        <w:adjustRightInd/>
        <w:spacing w:line="560" w:lineRule="exact"/>
        <w:textAlignment w:val="auto"/>
        <w:rPr>
          <w:rFonts w:hint="eastAsia" w:ascii="Times New Roman" w:hAnsi="Times New Roman"/>
        </w:rPr>
      </w:pPr>
      <w:bookmarkStart w:id="125" w:name="_Toc10152"/>
      <w:bookmarkStart w:id="126" w:name="_Toc2961"/>
      <w:bookmarkStart w:id="127" w:name="_Toc7990"/>
      <w:bookmarkStart w:id="128" w:name="_Toc32655"/>
      <w:bookmarkStart w:id="129" w:name="_Toc29699"/>
      <w:r>
        <w:rPr>
          <w:rFonts w:hint="eastAsia" w:ascii="Times New Roman" w:hAnsi="Times New Roman"/>
          <w:lang w:val="en-US" w:eastAsia="zh-CN"/>
        </w:rPr>
        <w:t>本次绩效评价范围主要围绕</w:t>
      </w:r>
      <w:r>
        <w:rPr>
          <w:rFonts w:hint="eastAsia" w:ascii="Times New Roman" w:hAnsi="Times New Roman" w:eastAsia="方正仿宋_GBK" w:cs="方正仿宋_GBK"/>
          <w:b w:val="0"/>
          <w:bCs/>
          <w:spacing w:val="-1"/>
          <w:szCs w:val="32"/>
          <w:lang w:val="en-US" w:eastAsia="zh-CN"/>
        </w:rPr>
        <w:t>城东金融贸易区市政维修安装、绿化养护项目</w:t>
      </w:r>
      <w:r>
        <w:rPr>
          <w:rFonts w:hint="eastAsia" w:ascii="Times New Roman" w:hAnsi="Times New Roman"/>
          <w:b w:val="0"/>
          <w:bCs/>
          <w:lang w:val="en-US" w:eastAsia="zh-CN"/>
        </w:rPr>
        <w:t>决策情况、项目管理、产出情况、效</w:t>
      </w:r>
      <w:r>
        <w:rPr>
          <w:rFonts w:hint="eastAsia" w:ascii="Times New Roman" w:hAnsi="Times New Roman"/>
          <w:lang w:val="en-US" w:eastAsia="zh-CN"/>
        </w:rPr>
        <w:t>益情况、资金管理和使用情况、相关管理制度办法的健全性及执行情况、以及其他相关内容。</w:t>
      </w:r>
    </w:p>
    <w:bookmarkEnd w:id="125"/>
    <w:bookmarkEnd w:id="126"/>
    <w:bookmarkEnd w:id="127"/>
    <w:bookmarkEnd w:id="128"/>
    <w:bookmarkEnd w:id="129"/>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30" w:name="_Toc2810_WPSOffice_Level2"/>
      <w:bookmarkStart w:id="131" w:name="_Toc7351"/>
      <w:bookmarkStart w:id="132" w:name="_Toc19251"/>
      <w:r>
        <w:rPr>
          <w:rFonts w:hint="eastAsia" w:ascii="Times New Roman" w:hAnsi="Times New Roman" w:eastAsia="方正仿宋_GBK" w:cs="方正仿宋_GBK"/>
          <w:lang w:val="en-US" w:eastAsia="zh-CN"/>
        </w:rPr>
        <w:t>（二）绩效评价原则、评价指标体系、评价方法、评价标准</w:t>
      </w:r>
      <w:bookmarkEnd w:id="130"/>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33" w:name="_Toc31771"/>
      <w:bookmarkStart w:id="134" w:name="_Toc29251"/>
      <w:bookmarkStart w:id="135" w:name="_Toc26481"/>
      <w:bookmarkStart w:id="136" w:name="_Toc22965_WPSOffice_Level3"/>
      <w:bookmarkStart w:id="137" w:name="_Toc1602"/>
      <w:bookmarkStart w:id="138" w:name="_Toc22525"/>
      <w:r>
        <w:rPr>
          <w:rFonts w:hint="eastAsia" w:ascii="Times New Roman" w:hAnsi="Times New Roman" w:eastAsia="方正仿宋_GBK" w:cs="方正仿宋_GBK"/>
          <w:lang w:val="en-US" w:eastAsia="zh-CN"/>
        </w:rPr>
        <w:t>1.绩效评价原则</w:t>
      </w:r>
      <w:bookmarkEnd w:id="133"/>
      <w:bookmarkEnd w:id="134"/>
      <w:bookmarkEnd w:id="135"/>
      <w:bookmarkEnd w:id="136"/>
      <w:bookmarkEnd w:id="137"/>
      <w:bookmarkEnd w:id="138"/>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（1）依法依规原则。绩效评价各个环节，充分体现依法依规要求，严格按照规定的管理程序和方法运作。</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eastAsia="方正仿宋_GBK" w:cs="方正仿宋_GBK"/>
          <w:b w:val="0"/>
          <w:bCs w:val="0"/>
          <w:color w:val="000000" w:themeColor="text1"/>
          <w:kern w:val="0"/>
          <w:szCs w:val="32"/>
          <w:lang w:val="en-US" w:eastAsia="zh-CN" w:bidi="en-US"/>
          <w14:textFill>
            <w14:solidFill>
              <w14:schemeClr w14:val="tx1"/>
            </w14:solidFill>
          </w14:textFill>
        </w:rPr>
        <w:t>（2）科学规</w:t>
      </w:r>
      <w:r>
        <w:rPr>
          <w:rFonts w:hint="eastAsia" w:ascii="Times New Roman" w:hAnsi="Times New Roman"/>
          <w:lang w:val="en-US" w:eastAsia="zh-CN"/>
        </w:rPr>
        <w:t>范原则。落实相关政策文件情况，按照科学可行的要求，采取定性与定量相结合的分析方法，严格遵守规定程序。</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（3）客观公正原则。绩效评价人员本着客观、公正的态度进行项目评价，评价结果依法公开，并接受公众监督。</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（4）绩效相关原则。在进行绩效评价时，重点关注项目产出情况，包括资金支付与项目实施进度，并对其进行比较，准确反映出二者的关系。</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（5）激励约束原则。绩效评价结果与预算安排、政策调整、改进管理实质性挂钩，体现奖优罚劣和激励相容导向，有效要安排、低效要压减、无效要问责。</w:t>
      </w:r>
    </w:p>
    <w:p>
      <w:pPr>
        <w:pageBreakBefore w:val="0"/>
        <w:wordWrap/>
        <w:topLinePunct w:val="0"/>
        <w:bidi w:val="0"/>
        <w:adjustRightInd/>
        <w:spacing w:line="560" w:lineRule="exact"/>
        <w:textAlignment w:val="auto"/>
        <w:rPr>
          <w:rFonts w:hint="eastAsia" w:ascii="Times New Roman" w:hAnsi="Times New Roman" w:eastAsia="方正仿宋_GBK" w:cs="方正仿宋_GBK"/>
          <w:b w:val="0"/>
          <w:bCs w:val="0"/>
          <w:color w:val="000000" w:themeColor="text1"/>
          <w:kern w:val="0"/>
          <w:szCs w:val="32"/>
          <w:lang w:val="en-US" w:eastAsia="zh-CN" w:bidi="en-US"/>
          <w14:textFill>
            <w14:solidFill>
              <w14:schemeClr w14:val="tx1"/>
            </w14:solidFill>
          </w14:textFill>
        </w:rPr>
      </w:pPr>
      <w:r>
        <w:rPr>
          <w:rFonts w:hint="eastAsia" w:ascii="Times New Roman" w:hAnsi="Times New Roman"/>
          <w:lang w:val="en-US" w:eastAsia="zh-CN"/>
        </w:rPr>
        <w:t>（6）统筹兼顾原则。单位自评、部门评价和财政评价应职责明确，各有侧重，相互衔接。单位自评应由项目单位自主实施，即“谁支出、谁自评”。部门评价和财政评价应在单位自评的基础上开展，必要时可委托第三方机构实施。</w:t>
      </w:r>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39" w:name="_Toc1441_WPSOffice_Level3"/>
      <w:r>
        <w:rPr>
          <w:rFonts w:hint="eastAsia" w:ascii="Times New Roman" w:hAnsi="Times New Roman" w:eastAsia="方正仿宋_GBK" w:cs="方正仿宋_GBK"/>
          <w:lang w:val="en-US" w:eastAsia="zh-CN"/>
        </w:rPr>
        <w:t>2.评价指标体系</w:t>
      </w:r>
      <w:bookmarkEnd w:id="139"/>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本次绩效评价指标体系按照《财政部关于印发〈项目支出绩效评价管理办法〉的通知》（财预[2020]10号）文件要求设置，由决策、过程、产出、效益4个一级指标、10个二级指标、17个三级指标构成。</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一级指标为：决策（20分）、过程（20分）、产出（40分）、效益（20分），共计100分。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二级指标为：项目立项（5分）、绩效目标（5分）、资金投入（10分）、资金管理（15分）、组织实施（5分）、产出数量（10分）、产出质量（10分）、产出时效（10分）、产出成本（10分）、项目效益（20分），共计100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三级指标为：立项依据充分性（3分）、立项程序规范性（2分）、绩效目标合理性（3分）、绩效指标明确性（2分）、预算编制科学性（5分）、资金分配合理性（5分）、资金到位率（5分）、预算执行率（5分）、资金使用合规性（5分）、管理制度健全性（2分）、制度执行有效性（3分）、实际完成率（10分）、质量达标率（10分）、完成及时性（10分）、成本节约率（10分）、实施效益（10分）、服务对象满意度（10分），共计100分。</w:t>
      </w:r>
    </w:p>
    <w:tbl>
      <w:tblPr>
        <w:tblStyle w:val="16"/>
        <w:tblW w:w="8316" w:type="dxa"/>
        <w:jc w:val="center"/>
        <w:tblLayout w:type="fixed"/>
        <w:tblCellMar>
          <w:top w:w="0" w:type="dxa"/>
          <w:left w:w="0" w:type="dxa"/>
          <w:bottom w:w="0" w:type="dxa"/>
          <w:right w:w="0" w:type="dxa"/>
        </w:tblCellMar>
      </w:tblPr>
      <w:tblGrid>
        <w:gridCol w:w="1975"/>
        <w:gridCol w:w="2467"/>
        <w:gridCol w:w="3097"/>
        <w:gridCol w:w="777"/>
      </w:tblGrid>
      <w:tr>
        <w:tblPrEx>
          <w:tblCellMar>
            <w:top w:w="0" w:type="dxa"/>
            <w:left w:w="0" w:type="dxa"/>
            <w:bottom w:w="0" w:type="dxa"/>
            <w:right w:w="0" w:type="dxa"/>
          </w:tblCellMar>
        </w:tblPrEx>
        <w:trPr>
          <w:trHeight w:val="400" w:hRule="atLeast"/>
          <w:tblHeader/>
          <w:jc w:val="center"/>
        </w:trPr>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一级指标</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二级指标</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三级指标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分值</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决策 （20分）</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项目立项（5分）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立项依据充分性（3分）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立项程序规范性（2分）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绩效目标（5分）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绩效目标</w:t>
            </w:r>
            <w:r>
              <w:rPr>
                <w:rFonts w:hint="eastAsia" w:ascii="Times New Roman" w:hAnsi="Times New Roman" w:eastAsia="方正仿宋_GBK" w:cs="方正仿宋_GBK"/>
                <w:sz w:val="28"/>
                <w:szCs w:val="28"/>
                <w:lang w:eastAsia="zh-CN"/>
              </w:rPr>
              <w:t>合理性</w:t>
            </w:r>
            <w:r>
              <w:rPr>
                <w:rFonts w:hint="eastAsia" w:ascii="Times New Roman" w:hAnsi="Times New Roman" w:eastAsia="方正仿宋_GBK" w:cs="方正仿宋_GBK"/>
                <w:sz w:val="28"/>
                <w:szCs w:val="28"/>
              </w:rPr>
              <w:t>（3分）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绩效指标</w:t>
            </w:r>
            <w:r>
              <w:rPr>
                <w:rFonts w:hint="eastAsia" w:ascii="Times New Roman" w:hAnsi="Times New Roman" w:eastAsia="方正仿宋_GBK" w:cs="方正仿宋_GBK"/>
                <w:sz w:val="28"/>
                <w:szCs w:val="28"/>
                <w:lang w:eastAsia="zh-CN"/>
              </w:rPr>
              <w:t>明确性</w:t>
            </w:r>
            <w:r>
              <w:rPr>
                <w:rFonts w:hint="eastAsia" w:ascii="Times New Roman" w:hAnsi="Times New Roman" w:eastAsia="方正仿宋_GBK" w:cs="方正仿宋_GBK"/>
                <w:sz w:val="28"/>
                <w:szCs w:val="28"/>
              </w:rPr>
              <w:t>（2分）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资金投入（10分）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预算编制</w:t>
            </w:r>
            <w:r>
              <w:rPr>
                <w:rFonts w:hint="eastAsia" w:ascii="Times New Roman" w:hAnsi="Times New Roman" w:eastAsia="方正仿宋_GBK" w:cs="方正仿宋_GBK"/>
                <w:sz w:val="28"/>
                <w:szCs w:val="28"/>
                <w:lang w:eastAsia="zh-CN"/>
              </w:rPr>
              <w:t>科学性</w:t>
            </w:r>
            <w:r>
              <w:rPr>
                <w:rFonts w:hint="eastAsia" w:ascii="Times New Roman" w:hAnsi="Times New Roman" w:eastAsia="方正仿宋_GBK" w:cs="方正仿宋_GBK"/>
                <w:sz w:val="28"/>
                <w:szCs w:val="28"/>
              </w:rPr>
              <w:t>（5分）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资金分配合理性（5分）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过程 （20分）</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资金管理（15分）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资金到位率（5分）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预算执行率（5分）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资金使用合规性（5分）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组织实施（5分）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管理制度健全性（2分）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制度执行</w:t>
            </w:r>
            <w:r>
              <w:rPr>
                <w:rFonts w:hint="eastAsia" w:ascii="Times New Roman" w:hAnsi="Times New Roman" w:eastAsia="方正仿宋_GBK" w:cs="方正仿宋_GBK"/>
                <w:sz w:val="28"/>
                <w:szCs w:val="28"/>
                <w:lang w:eastAsia="zh-CN"/>
              </w:rPr>
              <w:t>有效性</w:t>
            </w:r>
            <w:r>
              <w:rPr>
                <w:rFonts w:hint="eastAsia" w:ascii="Times New Roman" w:hAnsi="Times New Roman" w:eastAsia="方正仿宋_GBK" w:cs="方正仿宋_GBK"/>
                <w:sz w:val="28"/>
                <w:szCs w:val="28"/>
              </w:rPr>
              <w:t>（3分）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 （40分）</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产出数量（10分）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实际完成率（10分）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产出质量（10分）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质量达标率（10分）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产出时效（10分）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完成及时性（10分）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产出成本（10分）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成本节约率（10分）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效益 （20分）</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项目效益（20分）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实施效益（10分）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1" w:after="0" w:afterAutospacing="1" w:line="560" w:lineRule="exact"/>
              <w:ind w:left="0" w:right="0"/>
              <w:jc w:val="center"/>
              <w:textAlignment w:val="auto"/>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满意度（10分）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75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合计</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100</w:t>
            </w:r>
          </w:p>
        </w:tc>
      </w:tr>
    </w:tbl>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40" w:name="_Toc23237_WPSOffice_Level3"/>
      <w:r>
        <w:rPr>
          <w:rFonts w:hint="eastAsia" w:ascii="Times New Roman" w:hAnsi="Times New Roman" w:eastAsia="方正仿宋_GBK" w:cs="方正仿宋_GBK"/>
          <w:lang w:val="en-US" w:eastAsia="zh-CN"/>
        </w:rPr>
        <w:t>3.绩效评价方法</w:t>
      </w:r>
      <w:bookmarkEnd w:id="140"/>
    </w:p>
    <w:p>
      <w:pPr>
        <w:pageBreakBefore w:val="0"/>
        <w:wordWrap/>
        <w:topLinePunct w:val="0"/>
        <w:bidi w:val="0"/>
        <w:adjustRightInd/>
        <w:spacing w:line="560" w:lineRule="exact"/>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本次评价的方法按照《财政部关于印发〈项目支出绩效评价管理办法〉的通知》（财预〔2</w:t>
      </w:r>
      <w:r>
        <w:rPr>
          <w:rFonts w:hint="eastAsia" w:ascii="Times New Roman" w:hAnsi="Times New Roman" w:eastAsia="方正仿宋_GBK" w:cs="方正仿宋_GBK"/>
          <w:lang w:val="en-US" w:eastAsia="zh-CN"/>
        </w:rPr>
        <w:t>020〕10号）要求，主要采取比较法和调查法。一是比较法</w:t>
      </w:r>
      <w:r>
        <w:rPr>
          <w:rFonts w:hint="eastAsia" w:ascii="Times New Roman" w:hAnsi="Times New Roman" w:cs="方正仿宋_GBK"/>
          <w:lang w:val="en-US" w:eastAsia="zh-CN"/>
        </w:rPr>
        <w:t>，</w:t>
      </w:r>
      <w:r>
        <w:rPr>
          <w:rFonts w:hint="eastAsia" w:ascii="Times New Roman" w:hAnsi="Times New Roman" w:eastAsia="方正仿宋_GBK" w:cs="方正仿宋_GBK"/>
          <w:lang w:val="en-US" w:eastAsia="zh-CN"/>
        </w:rPr>
        <w:t>对项目支出情况及建设后的产出及效果与项目实施计划目标进行比较，分析预计目标的完成程度。二是调查法（包括抽样调查、现场调查和问卷调查）</w:t>
      </w:r>
      <w:r>
        <w:rPr>
          <w:rFonts w:hint="eastAsia" w:ascii="Times New Roman" w:hAnsi="Times New Roman" w:cs="方正仿宋_GBK"/>
          <w:lang w:val="en-US" w:eastAsia="zh-CN"/>
        </w:rPr>
        <w:t>，</w:t>
      </w:r>
      <w:r>
        <w:rPr>
          <w:rFonts w:hint="eastAsia" w:ascii="Times New Roman" w:hAnsi="Times New Roman" w:eastAsia="方正仿宋_GBK" w:cs="方正仿宋_GBK"/>
          <w:lang w:val="en-US" w:eastAsia="zh-CN"/>
        </w:rPr>
        <w:t>抽样调查是从评价项目中，抽取一部分内容进行实地考察和分析，并根据这部分内容的特征去推断项目全部的特征。现场调查是通过现场抽查、询问等方法，对项目效益等指标进行复核性评价</w:t>
      </w:r>
      <w:r>
        <w:rPr>
          <w:rFonts w:hint="eastAsia" w:ascii="Times New Roman" w:hAnsi="Times New Roman" w:cs="方正仿宋_GBK"/>
          <w:lang w:val="en-US" w:eastAsia="zh-CN"/>
        </w:rPr>
        <w:t>，</w:t>
      </w:r>
      <w:r>
        <w:rPr>
          <w:rFonts w:hint="eastAsia" w:ascii="Times New Roman" w:hAnsi="Times New Roman" w:eastAsia="方正仿宋_GBK" w:cs="方正仿宋_GBK"/>
          <w:lang w:val="en-US" w:eastAsia="zh-CN"/>
        </w:rPr>
        <w:t>问卷调查是针对</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项目区利益相关方实施的调查，并对调查结果进行统计、分析和评定。</w:t>
      </w:r>
    </w:p>
    <w:bookmarkEnd w:id="131"/>
    <w:bookmarkEnd w:id="132"/>
    <w:p>
      <w:pPr>
        <w:pageBreakBefore w:val="0"/>
        <w:wordWrap/>
        <w:topLinePunct w:val="0"/>
        <w:bidi w:val="0"/>
        <w:adjustRightInd/>
        <w:spacing w:line="560" w:lineRule="exact"/>
        <w:textAlignment w:val="auto"/>
        <w:rPr>
          <w:rFonts w:hint="eastAsia" w:ascii="Times New Roman" w:hAnsi="Times New Roman"/>
          <w:lang w:val="en-US" w:eastAsia="zh-CN"/>
        </w:rPr>
      </w:pPr>
      <w:bookmarkStart w:id="141" w:name="_Toc21253"/>
      <w:bookmarkStart w:id="142" w:name="_Toc242"/>
      <w:bookmarkStart w:id="143" w:name="_Toc9682"/>
      <w:bookmarkStart w:id="144" w:name="_Toc6819"/>
      <w:bookmarkStart w:id="145" w:name="_Toc10700"/>
      <w:r>
        <w:rPr>
          <w:rFonts w:hint="eastAsia" w:ascii="Times New Roman" w:hAnsi="Times New Roman"/>
          <w:lang w:val="en-US" w:eastAsia="zh-CN"/>
        </w:rPr>
        <w:t>本次绩效评价坚持“目标引领、系统评价、科学客观”的总体工作思路，采取现场评价和非现场评价相结合，坚持定量优先、简便有效的原则，遵循定量为主，定量、定性相结合的原则。参照采集的相关数据材料制订评价标准；采用比较法、文献法、社会调查法、实地核查法等方法进行综合评价，形成总体评价结论。具体评价方法如下：</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1）比较法：通过整理该项目相关资料和数据，评价数量指标的完成情况；通过分析项目的实施情况与绩效目标实现情况，评价项目实施的效果；通过分析项目资金使用情况及产生的效果，评价预算资金分配的合理性。</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（2）文献法：通过检索、查阅、梳理该项目相关的文件制度、会议纪要、单位职能、管理办法等相关材料，了解该项目立项依据的充分性及立项的规范性。</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（3）社会调查法：社会调查是深入了解项目参与主体和利益相关方 对项目认知及态度的主要方法，同时也是搜集标准统计数据的有效途径。绩效评价工作小组将采用实地访谈、问卷调查等方法对项目进行深入调研，充分的掌握项目的内容、实施过程、实施效果等，为评价指标评分和结果分析提供支撑。</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（4）实地核查法：通过核查实施单位专项资金凭证及账册，核实项 目资金拨付时间、金额等，核实各项支出是否按照相关财务管理制度、合同约定等执行，是否存在超范围列支的情况。</w:t>
      </w:r>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46" w:name="_Toc10071_WPSOffice_Level3"/>
      <w:r>
        <w:rPr>
          <w:rFonts w:hint="eastAsia" w:ascii="Times New Roman" w:hAnsi="Times New Roman" w:eastAsia="方正仿宋_GBK" w:cs="方正仿宋_GBK"/>
          <w:lang w:val="en-US" w:eastAsia="zh-CN"/>
        </w:rPr>
        <w:t>4.评价标准</w:t>
      </w:r>
      <w:bookmarkEnd w:id="146"/>
      <w:r>
        <w:rPr>
          <w:rFonts w:hint="eastAsia" w:ascii="Times New Roman" w:hAnsi="Times New Roman" w:eastAsia="方正仿宋_GBK" w:cs="方正仿宋_GBK"/>
          <w:lang w:val="en-US" w:eastAsia="zh-CN"/>
        </w:rPr>
        <w:t xml:space="preserve"> </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绩效评价标准通常包括计划标准、行业标准、历史标准等。本次绩效评价采用计划标准，以预先制定的目标、计划、预算、定额等作为评价标准，对比分析项目产出、效益的完成情况。</w:t>
      </w:r>
    </w:p>
    <w:p>
      <w:pPr>
        <w:pStyle w:val="5"/>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47" w:name="_Toc13626_WPSOffice_Level2"/>
      <w:r>
        <w:rPr>
          <w:rFonts w:hint="eastAsia" w:ascii="Times New Roman" w:hAnsi="Times New Roman" w:eastAsia="方正仿宋_GBK" w:cs="方正仿宋_GBK"/>
          <w:lang w:val="en-US" w:eastAsia="zh-CN"/>
        </w:rPr>
        <w:t>（三）绩效评价工作过程</w:t>
      </w:r>
      <w:bookmarkEnd w:id="147"/>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lang w:val="en-US" w:eastAsia="zh-CN"/>
        </w:rPr>
      </w:pPr>
      <w:bookmarkStart w:id="148" w:name="_Toc30690_WPSOffice_Level2"/>
      <w:r>
        <w:rPr>
          <w:rFonts w:hint="eastAsia" w:ascii="Times New Roman" w:hAnsi="Times New Roman" w:eastAsia="方正仿宋_GBK" w:cs="方正仿宋_GBK"/>
          <w:lang w:val="en-US" w:eastAsia="zh-CN"/>
        </w:rPr>
        <w:t>第一阶段：前期准备</w:t>
      </w:r>
      <w:r>
        <w:rPr>
          <w:rFonts w:hint="default" w:ascii="Times New Roman" w:hAnsi="Times New Roman" w:cs="Times New Roman"/>
          <w:sz w:val="32"/>
          <w:szCs w:val="32"/>
          <w:lang w:val="en-US" w:eastAsia="zh-CN"/>
        </w:rPr>
        <w:t>（2023年6月10日-2023年6月15日）</w:t>
      </w:r>
      <w:bookmarkEnd w:id="148"/>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我公司作为专业第三方机构，承担该项目评价职责，成立绩效评价工作小组，组长：路振蕊，成员：陈天天、李贺宇、路正敏，按绩效评价工作程序开展</w:t>
      </w:r>
      <w:r>
        <w:rPr>
          <w:rFonts w:hint="eastAsia" w:ascii="Times New Roman" w:hAnsi="Times New Roman" w:eastAsia="方正仿宋_GBK" w:cs="方正仿宋_GBK"/>
          <w:b w:val="0"/>
          <w:kern w:val="2"/>
          <w:sz w:val="32"/>
          <w:szCs w:val="22"/>
          <w:lang w:val="en-US" w:eastAsia="zh-CN" w:bidi="ar-SA"/>
        </w:rPr>
        <w:t>绩效评价工作，具体分工如下：</w:t>
      </w:r>
    </w:p>
    <w:tbl>
      <w:tblPr>
        <w:tblStyle w:val="17"/>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69"/>
        <w:gridCol w:w="1163"/>
        <w:gridCol w:w="4211"/>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序号</w:t>
            </w:r>
          </w:p>
        </w:tc>
        <w:tc>
          <w:tcPr>
            <w:tcW w:w="969"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姓名</w:t>
            </w:r>
          </w:p>
        </w:tc>
        <w:tc>
          <w:tcPr>
            <w:tcW w:w="1163"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职务</w:t>
            </w:r>
          </w:p>
        </w:tc>
        <w:tc>
          <w:tcPr>
            <w:tcW w:w="4211"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责任分工</w:t>
            </w:r>
          </w:p>
        </w:tc>
        <w:tc>
          <w:tcPr>
            <w:tcW w:w="1455"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路振蕊</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项目组长</w:t>
            </w:r>
          </w:p>
        </w:tc>
        <w:tc>
          <w:tcPr>
            <w:tcW w:w="4211"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复核评价报告及工作资料，终审把关评价报告</w:t>
            </w:r>
          </w:p>
        </w:tc>
        <w:tc>
          <w:tcPr>
            <w:tcW w:w="1455"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18299661021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2</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sz w:val="20"/>
                <w:szCs w:val="22"/>
                <w:vertAlign w:val="baseline"/>
                <w:lang w:eastAsia="zh-CN"/>
              </w:rPr>
              <w:t>陈天天</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项目助理</w:t>
            </w:r>
          </w:p>
        </w:tc>
        <w:tc>
          <w:tcPr>
            <w:tcW w:w="4211"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搜集项目资料，审核项目，撰写报告。</w:t>
            </w:r>
          </w:p>
        </w:tc>
        <w:tc>
          <w:tcPr>
            <w:tcW w:w="1455"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13399438405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3</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sz w:val="20"/>
                <w:szCs w:val="22"/>
                <w:vertAlign w:val="baseline"/>
                <w:lang w:eastAsia="zh-CN"/>
              </w:rPr>
              <w:t>路正敏</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rPr>
            </w:pPr>
            <w:r>
              <w:rPr>
                <w:rFonts w:hint="default" w:ascii="Times New Roman" w:hAnsi="Times New Roman" w:eastAsia="方正仿宋_GBK" w:cs="Times New Roman"/>
                <w:sz w:val="20"/>
                <w:szCs w:val="22"/>
                <w:vertAlign w:val="baseline"/>
                <w:lang w:eastAsia="zh-CN"/>
              </w:rPr>
              <w:t>项目助理</w:t>
            </w:r>
          </w:p>
        </w:tc>
        <w:tc>
          <w:tcPr>
            <w:tcW w:w="4211"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搜集项目资料，审核项目，撰写报告。</w:t>
            </w:r>
          </w:p>
        </w:tc>
        <w:tc>
          <w:tcPr>
            <w:tcW w:w="1455"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18294900402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4</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李贺宇</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rPr>
            </w:pPr>
            <w:r>
              <w:rPr>
                <w:rFonts w:hint="default" w:ascii="Times New Roman" w:hAnsi="Times New Roman" w:eastAsia="方正仿宋_GBK" w:cs="Times New Roman"/>
                <w:sz w:val="20"/>
                <w:szCs w:val="22"/>
                <w:vertAlign w:val="baseline"/>
                <w:lang w:eastAsia="zh-CN"/>
              </w:rPr>
              <w:t>项目助理</w:t>
            </w:r>
          </w:p>
        </w:tc>
        <w:tc>
          <w:tcPr>
            <w:tcW w:w="4211"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搜集项目资料，审核项目，撰写报告。</w:t>
            </w:r>
          </w:p>
        </w:tc>
        <w:tc>
          <w:tcPr>
            <w:tcW w:w="1455"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18799866967</w:t>
            </w:r>
          </w:p>
        </w:tc>
      </w:tr>
    </w:tbl>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49" w:name="_Toc6550_WPSOffice_Level3"/>
      <w:r>
        <w:rPr>
          <w:rFonts w:hint="eastAsia" w:ascii="Times New Roman" w:hAnsi="Times New Roman" w:eastAsia="方正仿宋_GBK" w:cs="方正仿宋_GBK"/>
          <w:lang w:val="en-US" w:eastAsia="zh-CN"/>
        </w:rPr>
        <w:t>（1）原始资料查阅</w:t>
      </w:r>
      <w:bookmarkEnd w:id="149"/>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评价小组在喀什经济开发区城东金融贸易发展服务中心全力配合协助下，收集</w:t>
      </w:r>
      <w:r>
        <w:rPr>
          <w:rFonts w:hint="eastAsia" w:ascii="Times New Roman" w:hAnsi="Times New Roman" w:eastAsia="方正仿宋_GBK" w:cs="方正仿宋_GBK"/>
          <w:b w:val="0"/>
          <w:bCs/>
          <w:spacing w:val="-1"/>
          <w:szCs w:val="32"/>
          <w:lang w:val="en-US" w:eastAsia="zh-CN"/>
        </w:rPr>
        <w:t>城东金融贸易区市政维修安装、绿化养护项目</w:t>
      </w:r>
      <w:r>
        <w:rPr>
          <w:rFonts w:hint="eastAsia" w:ascii="Times New Roman" w:hAnsi="Times New Roman"/>
          <w:b w:val="0"/>
          <w:bCs/>
          <w:lang w:val="en-US" w:eastAsia="zh-CN"/>
        </w:rPr>
        <w:t>相关背景资料、项目目标、预算资料、项目执行管理资料</w:t>
      </w:r>
      <w:r>
        <w:rPr>
          <w:rFonts w:hint="eastAsia" w:ascii="Times New Roman" w:hAnsi="Times New Roman"/>
          <w:lang w:val="en-US" w:eastAsia="zh-CN"/>
        </w:rPr>
        <w:t>、项目资金支付资料，对项目相关信息进行深入分析。根据《项目支出绩效评价管理办法》（财预〔2020〕10号）文件要求，结合项目的特点，梳理绩效评价总体思路，形成项目评价指标体系。</w:t>
      </w:r>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50" w:name="_Toc18216_WPSOffice_Level3"/>
      <w:r>
        <w:rPr>
          <w:rFonts w:hint="eastAsia" w:ascii="Times New Roman" w:hAnsi="Times New Roman" w:eastAsia="方正仿宋_GBK" w:cs="方正仿宋_GBK"/>
          <w:lang w:val="en-US" w:eastAsia="zh-CN"/>
        </w:rPr>
        <w:t>（2）确定评价思路和方法</w:t>
      </w:r>
      <w:bookmarkEnd w:id="150"/>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按照《项目支出绩效评价管理办法》（财预〔2020〕10号）文件要求，制定项目绩效评价指标体系，主要围绕项目决策、资金投入、过程管理、产出效果和社会效益。通过问卷、访谈等方式获取评价数据，明确工作方法和步骤，制定科学合理的工作计划。</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lang w:val="en-US" w:eastAsia="zh-CN"/>
        </w:rPr>
      </w:pPr>
      <w:bookmarkStart w:id="151" w:name="_Toc27103_WPSOffice_Level2"/>
      <w:r>
        <w:rPr>
          <w:rFonts w:hint="eastAsia" w:ascii="Times New Roman" w:hAnsi="Times New Roman" w:eastAsia="方正仿宋_GBK" w:cs="方正仿宋_GBK"/>
          <w:lang w:val="en-US" w:eastAsia="zh-CN"/>
        </w:rPr>
        <w:t>第二阶段：组织实施</w:t>
      </w:r>
      <w:r>
        <w:rPr>
          <w:rFonts w:hint="default" w:ascii="Times New Roman" w:hAnsi="Times New Roman" w:cs="Times New Roman"/>
          <w:sz w:val="32"/>
          <w:szCs w:val="32"/>
          <w:lang w:val="en-US" w:eastAsia="zh-CN"/>
        </w:rPr>
        <w:t>（2023年6月16日-2023年6月25日）</w:t>
      </w:r>
      <w:bookmarkEnd w:id="151"/>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52" w:name="_Toc19697_WPSOffice_Level3"/>
      <w:r>
        <w:rPr>
          <w:rFonts w:hint="eastAsia" w:ascii="Times New Roman" w:hAnsi="Times New Roman" w:eastAsia="方正仿宋_GBK" w:cs="方正仿宋_GBK"/>
          <w:lang w:val="en-US" w:eastAsia="zh-CN"/>
        </w:rPr>
        <w:t>（1）采集评价基础数据及相关资料</w:t>
      </w:r>
      <w:bookmarkEnd w:id="152"/>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全面收集项目相关资料和基础数据，完成绩效评价内容和评价指标体系的评价印证资料。整理该项目主要采用查阅相关文件政策、会计凭证等资料，采集项目资金支出情况、项目完成情况及项目成本构成等数据资料；并通过访谈、社会调查掌握具体情况，对采集的数据做详细的分析和统计。</w:t>
      </w:r>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53" w:name="_Toc32200_WPSOffice_Level3"/>
      <w:r>
        <w:rPr>
          <w:rFonts w:hint="eastAsia" w:ascii="Times New Roman" w:hAnsi="Times New Roman" w:eastAsia="方正仿宋_GBK" w:cs="方正仿宋_GBK"/>
          <w:lang w:val="en-US" w:eastAsia="zh-CN"/>
        </w:rPr>
        <w:t>（2）实地调研</w:t>
      </w:r>
      <w:bookmarkEnd w:id="153"/>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项目评价组根据项目实施过程及指标评价需求判断，针对项目进行实地调研考察，进行实地调研检查项目资金使用情况，重点关注资金使用是否存在截留、挪用财政专项资金的情况；资金支付审批情况是否合规；资金支付所需材料是否齐备；是否存在擅自改变、扩大支出范围的情况；是否存在擅自提高支出标准、虚列项目支出等情况。</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lang w:val="en-US" w:eastAsia="zh-CN"/>
        </w:rPr>
      </w:pPr>
      <w:bookmarkStart w:id="154" w:name="_Toc11136_WPSOffice_Level2"/>
      <w:r>
        <w:rPr>
          <w:rFonts w:hint="eastAsia" w:ascii="Times New Roman" w:hAnsi="Times New Roman" w:eastAsia="方正仿宋_GBK" w:cs="方正仿宋_GBK"/>
          <w:lang w:val="en-US" w:eastAsia="zh-CN"/>
        </w:rPr>
        <w:t>第三阶段：分析评价</w:t>
      </w:r>
      <w:r>
        <w:rPr>
          <w:rFonts w:hint="default" w:ascii="Times New Roman" w:hAnsi="Times New Roman" w:cs="Times New Roman"/>
          <w:sz w:val="32"/>
          <w:szCs w:val="32"/>
          <w:lang w:val="en-US" w:eastAsia="zh-CN"/>
        </w:rPr>
        <w:t>（2023年6月21日-2023年7月10日）</w:t>
      </w:r>
      <w:bookmarkEnd w:id="154"/>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一是根据所收集的资料，结合现场勘查等有关情况，整理出绩效评价所需要的基本资料和数据。二是按照确定的评价指标、评价标准和评价方法，对评价对象的绩效情况进行全面的定量定性分析和综合评价，量化评分，形成评价初步结论。</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lang w:val="en-US" w:eastAsia="zh-CN"/>
        </w:rPr>
      </w:pPr>
      <w:bookmarkStart w:id="155" w:name="_Toc3971_WPSOffice_Level2"/>
      <w:r>
        <w:rPr>
          <w:rFonts w:hint="eastAsia" w:ascii="Times New Roman" w:hAnsi="Times New Roman" w:eastAsia="方正仿宋_GBK" w:cs="方正仿宋_GBK"/>
          <w:lang w:val="en-US" w:eastAsia="zh-CN"/>
        </w:rPr>
        <w:t>第四阶段：撰写报告</w:t>
      </w:r>
      <w:r>
        <w:rPr>
          <w:rFonts w:hint="default" w:ascii="Times New Roman" w:hAnsi="Times New Roman" w:cs="Times New Roman"/>
          <w:sz w:val="32"/>
          <w:szCs w:val="32"/>
          <w:lang w:val="en-US" w:eastAsia="zh-CN"/>
        </w:rPr>
        <w:t>（2023年7月11日-2023年7月18日）</w:t>
      </w:r>
      <w:bookmarkEnd w:id="155"/>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归纳整体项目情况与存在问题，征求喀什经济开发区财政金融局意见，并结合反馈意见，撰写绩效评价报告。</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b/>
          <w:bCs w:val="0"/>
          <w:sz w:val="32"/>
          <w:szCs w:val="32"/>
          <w:lang w:val="en-US" w:eastAsia="zh-CN"/>
        </w:rPr>
      </w:pPr>
      <w:bookmarkStart w:id="156" w:name="_Toc22965_WPSOffice_Level2"/>
      <w:r>
        <w:rPr>
          <w:rFonts w:hint="eastAsia" w:ascii="Times New Roman" w:hAnsi="Times New Roman" w:eastAsia="方正仿宋_GBK" w:cs="方正仿宋_GBK"/>
          <w:b/>
          <w:bCs w:val="0"/>
          <w:sz w:val="32"/>
          <w:szCs w:val="32"/>
          <w:lang w:val="en-US" w:eastAsia="zh-CN"/>
        </w:rPr>
        <w:t>第五阶段：会审完善</w:t>
      </w:r>
      <w:r>
        <w:rPr>
          <w:rFonts w:hint="default" w:ascii="Times New Roman" w:hAnsi="Times New Roman" w:cs="Times New Roman"/>
          <w:sz w:val="32"/>
          <w:szCs w:val="32"/>
          <w:lang w:val="en-US" w:eastAsia="zh-CN"/>
        </w:rPr>
        <w:t>（2023年7月19日-2023年7月28日）</w:t>
      </w:r>
      <w:bookmarkEnd w:id="156"/>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由财政部门代表、绩效评价机构、人大代表、绩效评价专家及被评价行业专家组成评价专家组，对绩效报告真实性、合规性进行联合会审，提出修正完善意见，绩效评价机构根据会审意见，修正完善绩效评价报告。</w:t>
      </w:r>
    </w:p>
    <w:p>
      <w:pPr>
        <w:pStyle w:val="6"/>
        <w:pageBreakBefore w:val="0"/>
        <w:wordWrap/>
        <w:topLinePunct w:val="0"/>
        <w:bidi w:val="0"/>
        <w:adjustRightInd/>
        <w:spacing w:line="560" w:lineRule="exact"/>
        <w:ind w:firstLine="643" w:firstLineChars="200"/>
        <w:textAlignment w:val="auto"/>
        <w:rPr>
          <w:rFonts w:hint="eastAsia" w:ascii="Times New Roman" w:hAnsi="Times New Roman" w:eastAsia="方正仿宋_GBK" w:cs="方正仿宋_GBK"/>
          <w:b/>
          <w:bCs w:val="0"/>
          <w:sz w:val="32"/>
          <w:szCs w:val="32"/>
          <w:lang w:val="en-US" w:eastAsia="zh-CN"/>
        </w:rPr>
      </w:pPr>
      <w:bookmarkStart w:id="157" w:name="_Toc1441_WPSOffice_Level2"/>
      <w:r>
        <w:rPr>
          <w:rFonts w:hint="eastAsia" w:ascii="Times New Roman" w:hAnsi="Times New Roman" w:eastAsia="方正仿宋_GBK" w:cs="方正仿宋_GBK"/>
          <w:b/>
          <w:bCs w:val="0"/>
          <w:sz w:val="32"/>
          <w:szCs w:val="32"/>
          <w:lang w:val="en-US" w:eastAsia="zh-CN"/>
        </w:rPr>
        <w:t>第六阶段：归集档案</w:t>
      </w:r>
      <w:r>
        <w:rPr>
          <w:rFonts w:hint="default" w:ascii="Times New Roman" w:hAnsi="Times New Roman" w:cs="Times New Roman"/>
          <w:sz w:val="32"/>
          <w:szCs w:val="32"/>
          <w:lang w:val="en-US" w:eastAsia="zh-CN"/>
        </w:rPr>
        <w:t>（2023年7月28日）</w:t>
      </w:r>
      <w:bookmarkEnd w:id="157"/>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eastAsia="方正仿宋_GBK"/>
          <w:sz w:val="32"/>
          <w:szCs w:val="32"/>
          <w:lang w:val="en-US" w:eastAsia="zh-CN"/>
        </w:rPr>
        <w:t>将项目相关资</w:t>
      </w:r>
      <w:bookmarkStart w:id="158" w:name="_Toc27145_WPSOffice_Level1"/>
      <w:r>
        <w:rPr>
          <w:rFonts w:hint="eastAsia" w:ascii="Times New Roman" w:hAnsi="Times New Roman" w:eastAsia="方正仿宋_GBK"/>
          <w:sz w:val="32"/>
          <w:szCs w:val="32"/>
          <w:lang w:val="en-US" w:eastAsia="zh-CN"/>
        </w:rPr>
        <w:t>料按照一项目一存档进行分类存档，包括但不限于：评价项目基本情况和</w:t>
      </w:r>
      <w:bookmarkEnd w:id="158"/>
      <w:r>
        <w:rPr>
          <w:rFonts w:hint="eastAsia" w:ascii="Times New Roman" w:hAnsi="Times New Roman" w:eastAsia="方正仿宋_GBK"/>
          <w:sz w:val="32"/>
          <w:szCs w:val="32"/>
          <w:lang w:val="en-US" w:eastAsia="zh-CN"/>
        </w:rPr>
        <w:t>相</w:t>
      </w:r>
      <w:bookmarkStart w:id="159" w:name="_Toc2046_WPSOffice_Level2"/>
      <w:r>
        <w:rPr>
          <w:rFonts w:hint="eastAsia" w:ascii="Times New Roman" w:hAnsi="Times New Roman" w:eastAsia="方正仿宋_GBK"/>
          <w:sz w:val="32"/>
          <w:szCs w:val="32"/>
          <w:lang w:val="en-US" w:eastAsia="zh-CN"/>
        </w:rPr>
        <w:t>关文件、项目绩效评价实施方案</w:t>
      </w:r>
      <w:bookmarkEnd w:id="159"/>
      <w:r>
        <w:rPr>
          <w:rFonts w:hint="eastAsia" w:ascii="Times New Roman" w:hAnsi="Times New Roman" w:eastAsia="方正仿宋_GBK"/>
          <w:sz w:val="32"/>
          <w:szCs w:val="32"/>
          <w:lang w:val="en-US" w:eastAsia="zh-CN"/>
        </w:rPr>
        <w:t>、项目支付资料等相关</w:t>
      </w:r>
      <w:r>
        <w:rPr>
          <w:rFonts w:hint="eastAsia" w:ascii="Times New Roman" w:hAnsi="Times New Roman"/>
          <w:sz w:val="32"/>
          <w:szCs w:val="32"/>
          <w:lang w:val="en-US" w:eastAsia="zh-CN"/>
        </w:rPr>
        <w:t>档案</w:t>
      </w:r>
      <w:r>
        <w:rPr>
          <w:rFonts w:hint="eastAsia" w:ascii="Times New Roman" w:hAnsi="Times New Roman"/>
          <w:lang w:val="en-US" w:eastAsia="zh-CN"/>
        </w:rPr>
        <w:t>。</w:t>
      </w:r>
    </w:p>
    <w:p>
      <w:pPr>
        <w:pStyle w:val="4"/>
        <w:pageBreakBefore w:val="0"/>
        <w:wordWrap/>
        <w:topLinePunct w:val="0"/>
        <w:bidi w:val="0"/>
        <w:adjustRightInd/>
        <w:spacing w:line="560" w:lineRule="exact"/>
        <w:textAlignment w:val="auto"/>
        <w:rPr>
          <w:rFonts w:hint="eastAsia" w:ascii="方正黑体_GBK" w:hAnsi="方正黑体_GBK" w:eastAsia="方正黑体_GBK" w:cs="方正黑体_GBK"/>
          <w:lang w:val="en-US" w:eastAsia="zh-CN"/>
        </w:rPr>
      </w:pPr>
      <w:bookmarkStart w:id="160" w:name="_Toc10081_WPSOffice_Level1"/>
      <w:r>
        <w:rPr>
          <w:rFonts w:hint="eastAsia" w:ascii="方正黑体_GBK" w:hAnsi="方正黑体_GBK" w:eastAsia="方正黑体_GBK" w:cs="方正黑体_GBK"/>
          <w:lang w:val="en-US" w:eastAsia="zh-CN"/>
        </w:rPr>
        <w:t>三、综合评价情况及评价结论</w:t>
      </w:r>
      <w:bookmarkEnd w:id="160"/>
    </w:p>
    <w:bookmarkEnd w:id="141"/>
    <w:bookmarkEnd w:id="142"/>
    <w:bookmarkEnd w:id="143"/>
    <w:bookmarkEnd w:id="144"/>
    <w:bookmarkEnd w:id="145"/>
    <w:p>
      <w:pPr>
        <w:pStyle w:val="5"/>
        <w:pageBreakBefore w:val="0"/>
        <w:numPr>
          <w:ilvl w:val="2"/>
          <w:numId w:val="2"/>
        </w:numPr>
        <w:wordWrap/>
        <w:topLinePunct w:val="0"/>
        <w:bidi w:val="0"/>
        <w:adjustRightInd/>
        <w:spacing w:line="560" w:lineRule="exact"/>
        <w:textAlignment w:val="auto"/>
        <w:rPr>
          <w:rFonts w:hint="eastAsia" w:ascii="Times New Roman" w:hAnsi="Times New Roman" w:eastAsia="方正仿宋_GBK" w:cs="方正仿宋_GBK"/>
        </w:rPr>
      </w:pPr>
      <w:bookmarkStart w:id="161" w:name="_Toc107396742"/>
      <w:bookmarkStart w:id="162" w:name="_Toc23237_WPSOffice_Level2"/>
      <w:r>
        <w:rPr>
          <w:rFonts w:hint="eastAsia" w:ascii="Times New Roman" w:hAnsi="Times New Roman" w:eastAsia="方正仿宋_GBK" w:cs="方正仿宋_GBK"/>
        </w:rPr>
        <w:t>综合评价情况</w:t>
      </w:r>
      <w:bookmarkEnd w:id="161"/>
      <w:bookmarkEnd w:id="162"/>
    </w:p>
    <w:p>
      <w:pPr>
        <w:pageBreakBefore w:val="0"/>
        <w:wordWrap/>
        <w:topLinePunct w:val="0"/>
        <w:bidi w:val="0"/>
        <w:adjustRightInd/>
        <w:spacing w:line="560" w:lineRule="exact"/>
        <w:textAlignment w:val="auto"/>
        <w:rPr>
          <w:rFonts w:hint="eastAsia" w:ascii="Times New Roman" w:hAnsi="Times New Roman"/>
          <w:lang w:eastAsia="zh-CN"/>
        </w:rPr>
      </w:pPr>
      <w:r>
        <w:rPr>
          <w:rFonts w:hint="eastAsia" w:ascii="Times New Roman" w:hAnsi="Times New Roman"/>
        </w:rPr>
        <w:t>项目决策方面：</w:t>
      </w:r>
      <w:r>
        <w:rPr>
          <w:rFonts w:hint="eastAsia" w:ascii="Times New Roman" w:hAnsi="Times New Roman"/>
          <w:lang w:eastAsia="zh-CN"/>
        </w:rPr>
        <w:t>该项目根据</w:t>
      </w:r>
      <w:r>
        <w:rPr>
          <w:rFonts w:hint="eastAsia" w:ascii="Times New Roman" w:hAnsi="Times New Roman"/>
          <w:lang w:val="en-US" w:eastAsia="zh-CN"/>
        </w:rPr>
        <w:t>喀什经济开发区</w:t>
      </w:r>
      <w:r>
        <w:rPr>
          <w:rFonts w:hint="eastAsia" w:ascii="Times New Roman" w:hAnsi="Times New Roman"/>
          <w:lang w:eastAsia="zh-CN"/>
        </w:rPr>
        <w:t>党政联席会第11期会议纪要立项，立项程序规范，经本级财政部门与上级财政部门复核，立项程序规范，预算编制精准，与项目内容契合。</w:t>
      </w:r>
    </w:p>
    <w:p>
      <w:pPr>
        <w:pageBreakBefore w:val="0"/>
        <w:wordWrap/>
        <w:topLinePunct w:val="0"/>
        <w:bidi w:val="0"/>
        <w:adjustRightInd/>
        <w:spacing w:line="560" w:lineRule="exact"/>
        <w:textAlignment w:val="auto"/>
        <w:rPr>
          <w:rFonts w:hint="eastAsia" w:ascii="Times New Roman" w:hAnsi="Times New Roman"/>
          <w:highlight w:val="none"/>
          <w:lang w:eastAsia="zh-CN"/>
        </w:rPr>
      </w:pPr>
      <w:r>
        <w:rPr>
          <w:rFonts w:hint="eastAsia" w:ascii="Times New Roman" w:hAnsi="Times New Roman"/>
          <w:lang w:eastAsia="zh-CN"/>
        </w:rPr>
        <w:t>项目管理方面：该项目预算安排资金</w:t>
      </w:r>
      <w:r>
        <w:rPr>
          <w:rFonts w:hint="eastAsia" w:ascii="Times New Roman" w:hAnsi="Times New Roman"/>
          <w:lang w:val="en-US" w:eastAsia="zh-CN"/>
        </w:rPr>
        <w:t>923.8</w:t>
      </w:r>
      <w:r>
        <w:rPr>
          <w:rFonts w:hint="eastAsia" w:ascii="Times New Roman" w:hAnsi="Times New Roman"/>
          <w:lang w:eastAsia="zh-CN"/>
        </w:rPr>
        <w:t>万元，实际支出</w:t>
      </w:r>
      <w:r>
        <w:rPr>
          <w:rFonts w:hint="eastAsia" w:ascii="Times New Roman" w:hAnsi="Times New Roman"/>
          <w:lang w:val="en-US" w:eastAsia="zh-CN"/>
        </w:rPr>
        <w:t>923.8</w:t>
      </w:r>
      <w:r>
        <w:rPr>
          <w:rFonts w:hint="eastAsia" w:ascii="Times New Roman" w:hAnsi="Times New Roman"/>
          <w:lang w:eastAsia="zh-CN"/>
        </w:rPr>
        <w:t>万元，预算执行率</w:t>
      </w:r>
      <w:r>
        <w:rPr>
          <w:rFonts w:hint="eastAsia" w:ascii="Times New Roman" w:hAnsi="Times New Roman"/>
          <w:lang w:val="en-US" w:eastAsia="zh-CN"/>
        </w:rPr>
        <w:t>100</w:t>
      </w:r>
      <w:r>
        <w:rPr>
          <w:rFonts w:hint="eastAsia" w:ascii="Times New Roman" w:hAnsi="Times New Roman"/>
          <w:lang w:eastAsia="zh-CN"/>
        </w:rPr>
        <w:t>%。项目资金使用合规，项目财务管理制度健全，财务监控到位，所有资金支付按照国库集中支付制度严格执行，</w:t>
      </w:r>
      <w:r>
        <w:rPr>
          <w:rFonts w:hint="eastAsia" w:ascii="Times New Roman" w:hAnsi="Times New Roman"/>
          <w:highlight w:val="none"/>
          <w:lang w:eastAsia="zh-CN"/>
        </w:rPr>
        <w:t>制定和完善项目支出等</w:t>
      </w:r>
      <w:r>
        <w:rPr>
          <w:rFonts w:hint="eastAsia" w:ascii="Times New Roman" w:hAnsi="Times New Roman"/>
          <w:highlight w:val="none"/>
          <w:lang w:val="en-US" w:eastAsia="zh-CN"/>
        </w:rPr>
        <w:t>各项支出标准</w:t>
      </w:r>
      <w:r>
        <w:rPr>
          <w:rFonts w:hint="eastAsia" w:ascii="Times New Roman" w:hAnsi="Times New Roman"/>
          <w:highlight w:val="none"/>
          <w:lang w:eastAsia="zh-CN"/>
        </w:rPr>
        <w:t>,</w:t>
      </w:r>
      <w:r>
        <w:rPr>
          <w:rFonts w:hint="eastAsia" w:ascii="Times New Roman" w:hAnsi="Times New Roman"/>
          <w:highlight w:val="none"/>
          <w:lang w:val="en-US" w:eastAsia="zh-CN"/>
        </w:rPr>
        <w:t>严格按项目进度执行预算，</w:t>
      </w:r>
      <w:r>
        <w:rPr>
          <w:rFonts w:hint="eastAsia" w:ascii="Times New Roman" w:hAnsi="Times New Roman"/>
          <w:highlight w:val="none"/>
          <w:lang w:eastAsia="zh-CN"/>
        </w:rPr>
        <w:t>增强预算的约束力和严肃性。</w:t>
      </w:r>
    </w:p>
    <w:p>
      <w:pPr>
        <w:pageBreakBefore w:val="0"/>
        <w:wordWrap/>
        <w:topLinePunct w:val="0"/>
        <w:bidi w:val="0"/>
        <w:adjustRightInd/>
        <w:spacing w:line="560" w:lineRule="exact"/>
        <w:textAlignment w:val="auto"/>
        <w:rPr>
          <w:rFonts w:hint="eastAsia" w:ascii="Times New Roman" w:hAnsi="Times New Roman"/>
          <w:lang w:eastAsia="zh-CN"/>
        </w:rPr>
      </w:pPr>
      <w:r>
        <w:rPr>
          <w:rFonts w:hint="eastAsia" w:ascii="Times New Roman" w:hAnsi="Times New Roman"/>
          <w:lang w:eastAsia="zh-CN"/>
        </w:rPr>
        <w:t>项目产出方面：截止2022年12月31日，完成了城东金融贸易区范围内的各类零星维修改造；城东金融贸易区的深喀大道、城东大道、时代大道等城市主干道和大亚郎绿地、法桐公园周边的城市机动车道、人行道、绿化带的环境卫生等日常养护工作三个标段的项目尾款；2022年绿化环卫公共服务一体化项目绿化养护面积933000㎡，道路清洁面积1095000㎡。</w:t>
      </w:r>
    </w:p>
    <w:p>
      <w:pPr>
        <w:pageBreakBefore w:val="0"/>
        <w:wordWrap/>
        <w:topLinePunct w:val="0"/>
        <w:bidi w:val="0"/>
        <w:adjustRightInd/>
        <w:spacing w:line="560" w:lineRule="exact"/>
        <w:textAlignment w:val="auto"/>
        <w:rPr>
          <w:rFonts w:hint="eastAsia" w:ascii="Times New Roman" w:hAnsi="Times New Roman"/>
          <w:lang w:eastAsia="zh-CN"/>
        </w:rPr>
      </w:pPr>
      <w:r>
        <w:rPr>
          <w:rFonts w:hint="eastAsia" w:ascii="Times New Roman" w:hAnsi="Times New Roman"/>
          <w:lang w:eastAsia="zh-CN"/>
        </w:rPr>
        <w:t>项目效益方面：城市道路、地下管网、公共设施、城市基础设施等维修，</w:t>
      </w:r>
      <w:r>
        <w:rPr>
          <w:rFonts w:hint="eastAsia" w:ascii="Times New Roman" w:hAnsi="Times New Roman"/>
          <w:lang w:val="en-US" w:eastAsia="zh-CN"/>
        </w:rPr>
        <w:t>城市环境卫生的提升和绿化美化环境，直接服务于广大人民群众，其数量和质量水平，是城市经济高效化和可持续发展的重要条件之一，同时，促进整个区域生活环境提高，为居民提供良好的生态生活环境。</w:t>
      </w:r>
    </w:p>
    <w:p>
      <w:pPr>
        <w:pStyle w:val="5"/>
        <w:pageBreakBefore w:val="0"/>
        <w:numPr>
          <w:ilvl w:val="2"/>
          <w:numId w:val="2"/>
        </w:numPr>
        <w:wordWrap/>
        <w:topLinePunct w:val="0"/>
        <w:bidi w:val="0"/>
        <w:adjustRightInd/>
        <w:spacing w:line="560" w:lineRule="exact"/>
        <w:textAlignment w:val="auto"/>
        <w:rPr>
          <w:rFonts w:hint="eastAsia" w:ascii="Times New Roman" w:hAnsi="Times New Roman" w:eastAsia="方正仿宋_GBK" w:cs="方正仿宋_GBK"/>
        </w:rPr>
      </w:pPr>
      <w:bookmarkStart w:id="163" w:name="_Toc107396743"/>
      <w:bookmarkStart w:id="164" w:name="_Toc10071_WPSOffice_Level2"/>
      <w:r>
        <w:rPr>
          <w:rFonts w:hint="eastAsia" w:ascii="Times New Roman" w:hAnsi="Times New Roman" w:eastAsia="方正仿宋_GBK" w:cs="方正仿宋_GBK"/>
        </w:rPr>
        <w:t>综合评价结论</w:t>
      </w:r>
      <w:bookmarkEnd w:id="163"/>
      <w:bookmarkEnd w:id="164"/>
    </w:p>
    <w:p>
      <w:pPr>
        <w:pageBreakBefore w:val="0"/>
        <w:wordWrap/>
        <w:topLinePunct w:val="0"/>
        <w:bidi w:val="0"/>
        <w:adjustRightInd/>
        <w:spacing w:line="560" w:lineRule="exact"/>
        <w:textAlignment w:val="auto"/>
        <w:rPr>
          <w:rFonts w:hint="eastAsia" w:ascii="Times New Roman" w:hAnsi="Times New Roman"/>
        </w:rPr>
      </w:pPr>
      <w:r>
        <w:rPr>
          <w:rFonts w:hint="eastAsia" w:ascii="Times New Roman" w:hAnsi="Times New Roman"/>
        </w:rPr>
        <w:t>依据《中共中央国务院关于全面实施预算绩效管理的意见》及《项目支出绩效评价管理办法》（财预〔2020〕10号）文件，绩效评价总分设置为100分，划分为四档：90（含）-100分为优、80（含）-90分为良、</w:t>
      </w:r>
      <w:r>
        <w:rPr>
          <w:rFonts w:hint="eastAsia" w:ascii="Times New Roman" w:hAnsi="Times New Roman"/>
          <w:lang w:val="en-US" w:eastAsia="zh-CN"/>
        </w:rPr>
        <w:t>70</w:t>
      </w:r>
      <w:r>
        <w:rPr>
          <w:rFonts w:hint="eastAsia" w:ascii="Times New Roman" w:hAnsi="Times New Roman"/>
        </w:rPr>
        <w:t>（含）-80分为中、</w:t>
      </w:r>
      <w:r>
        <w:rPr>
          <w:rFonts w:hint="eastAsia" w:ascii="Times New Roman" w:hAnsi="Times New Roman"/>
          <w:lang w:val="en-US" w:eastAsia="zh-CN"/>
        </w:rPr>
        <w:t>70</w:t>
      </w:r>
      <w:r>
        <w:rPr>
          <w:rFonts w:hint="eastAsia" w:ascii="Times New Roman" w:hAnsi="Times New Roman"/>
        </w:rPr>
        <w:t>分以下为差。</w:t>
      </w:r>
    </w:p>
    <w:p>
      <w:pPr>
        <w:pageBreakBefore w:val="0"/>
        <w:wordWrap/>
        <w:topLinePunct w:val="0"/>
        <w:bidi w:val="0"/>
        <w:adjustRightInd/>
        <w:spacing w:line="560" w:lineRule="exact"/>
        <w:textAlignment w:val="auto"/>
        <w:rPr>
          <w:rFonts w:hint="eastAsia" w:ascii="Times New Roman" w:hAnsi="Times New Roman"/>
        </w:rPr>
      </w:pPr>
      <w:r>
        <w:rPr>
          <w:rFonts w:hint="eastAsia" w:ascii="Times New Roman" w:hAnsi="Times New Roman"/>
        </w:rPr>
        <w:t>运用由项目组制订评价指标体系及评分标准，该项目最终评分</w:t>
      </w:r>
      <w:r>
        <w:rPr>
          <w:rFonts w:hint="eastAsia" w:ascii="Times New Roman" w:hAnsi="Times New Roman"/>
          <w:lang w:val="en-US" w:eastAsia="zh-CN"/>
        </w:rPr>
        <w:t>99</w:t>
      </w:r>
      <w:r>
        <w:rPr>
          <w:rFonts w:hint="eastAsia" w:ascii="Times New Roman" w:hAnsi="Times New Roman"/>
        </w:rPr>
        <w:t>分，绩效评级为“</w:t>
      </w:r>
      <w:r>
        <w:rPr>
          <w:rFonts w:hint="eastAsia" w:ascii="Times New Roman" w:hAnsi="Times New Roman"/>
          <w:lang w:eastAsia="zh-CN"/>
        </w:rPr>
        <w:t>优</w:t>
      </w:r>
      <w:r>
        <w:rPr>
          <w:rFonts w:hint="eastAsia" w:ascii="Times New Roman" w:hAnsi="Times New Roman"/>
        </w:rPr>
        <w:t>”，具体得分情况为：项目决策</w:t>
      </w:r>
      <w:r>
        <w:rPr>
          <w:rFonts w:hint="eastAsia" w:ascii="Times New Roman" w:hAnsi="Times New Roman"/>
          <w:lang w:val="en-US" w:eastAsia="zh-CN"/>
        </w:rPr>
        <w:t>20</w:t>
      </w:r>
      <w:r>
        <w:rPr>
          <w:rFonts w:hint="eastAsia" w:ascii="Times New Roman" w:hAnsi="Times New Roman"/>
        </w:rPr>
        <w:t>分、项目过程</w:t>
      </w:r>
      <w:r>
        <w:rPr>
          <w:rFonts w:hint="eastAsia" w:ascii="Times New Roman" w:hAnsi="Times New Roman"/>
          <w:lang w:val="en-US" w:eastAsia="zh-CN"/>
        </w:rPr>
        <w:t>19</w:t>
      </w:r>
      <w:r>
        <w:rPr>
          <w:rFonts w:hint="eastAsia" w:ascii="Times New Roman" w:hAnsi="Times New Roman"/>
        </w:rPr>
        <w:t>分、项目产出</w:t>
      </w:r>
      <w:r>
        <w:rPr>
          <w:rFonts w:hint="eastAsia" w:ascii="Times New Roman" w:hAnsi="Times New Roman"/>
          <w:lang w:val="en-US" w:eastAsia="zh-CN"/>
        </w:rPr>
        <w:t>40</w:t>
      </w:r>
      <w:r>
        <w:rPr>
          <w:rFonts w:hint="eastAsia" w:ascii="Times New Roman" w:hAnsi="Times New Roman"/>
        </w:rPr>
        <w:t>分、项目效益</w:t>
      </w:r>
      <w:r>
        <w:rPr>
          <w:rFonts w:hint="eastAsia" w:ascii="Times New Roman" w:hAnsi="Times New Roman"/>
          <w:lang w:val="en-US" w:eastAsia="zh-CN"/>
        </w:rPr>
        <w:t>20</w:t>
      </w:r>
      <w:r>
        <w:rPr>
          <w:rFonts w:hint="eastAsia" w:ascii="Times New Roman" w:hAnsi="Times New Roman"/>
        </w:rPr>
        <w:t>分。</w:t>
      </w:r>
    </w:p>
    <w:p>
      <w:pPr>
        <w:pageBreakBefore w:val="0"/>
        <w:wordWrap/>
        <w:topLinePunct w:val="0"/>
        <w:bidi w:val="0"/>
        <w:adjustRightInd/>
        <w:spacing w:line="560" w:lineRule="exact"/>
        <w:ind w:left="0" w:leftChars="0" w:firstLine="320" w:firstLineChars="100"/>
        <w:textAlignment w:val="auto"/>
        <w:rPr>
          <w:rFonts w:hint="eastAsia" w:ascii="Times New Roman" w:hAnsi="Times New Roman" w:eastAsia="方正仿宋_GBK" w:cs="方正仿宋_GBK"/>
        </w:rPr>
      </w:pPr>
      <w:r>
        <w:rPr>
          <w:rFonts w:hint="eastAsia" w:ascii="Times New Roman" w:hAnsi="Times New Roman" w:eastAsia="方正仿宋_GBK" w:cs="方正仿宋_GBK"/>
        </w:rPr>
        <w:t>城东金融贸易区市政维修安装、绿化养护项目得分情况表</w:t>
      </w:r>
    </w:p>
    <w:tbl>
      <w:tblPr>
        <w:tblStyle w:val="16"/>
        <w:tblW w:w="8316" w:type="dxa"/>
        <w:tblInd w:w="0" w:type="dxa"/>
        <w:tblLayout w:type="fixed"/>
        <w:tblCellMar>
          <w:top w:w="0" w:type="dxa"/>
          <w:left w:w="0" w:type="dxa"/>
          <w:bottom w:w="0" w:type="dxa"/>
          <w:right w:w="0" w:type="dxa"/>
        </w:tblCellMar>
      </w:tblPr>
      <w:tblGrid>
        <w:gridCol w:w="3326"/>
        <w:gridCol w:w="1663"/>
        <w:gridCol w:w="1663"/>
        <w:gridCol w:w="1664"/>
      </w:tblGrid>
      <w:tr>
        <w:tblPrEx>
          <w:tblCellMar>
            <w:top w:w="0" w:type="dxa"/>
            <w:left w:w="0" w:type="dxa"/>
            <w:bottom w:w="0" w:type="dxa"/>
            <w:right w:w="0" w:type="dxa"/>
          </w:tblCellMar>
        </w:tblPrEx>
        <w:trPr>
          <w:trHeight w:val="400" w:hRule="atLeast"/>
          <w:tblHeader/>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rPr>
              <w:t>一级指标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rPr>
              <w:t>权重</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rPr>
              <w:t>得分率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Autospacing="0" w:afterAutospacing="0" w:line="560" w:lineRule="exact"/>
              <w:ind w:left="2" w:right="2" w:firstLine="163"/>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rPr>
              <w:t>实际得分</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rPr>
              <w:t>项目决策</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lang w:val="en-US" w:eastAsia="zh-CN"/>
              </w:rPr>
              <w:t>100</w:t>
            </w:r>
            <w:r>
              <w:rPr>
                <w:rFonts w:hint="eastAsia" w:ascii="Times New Roman" w:hAnsi="Times New Roman" w:eastAsia="方正仿宋_GBK" w:cs="方正仿宋_GBK"/>
                <w:sz w:val="22"/>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2"/>
                <w:lang w:val="en-US" w:eastAsia="zh-CN"/>
              </w:rPr>
            </w:pPr>
            <w:r>
              <w:rPr>
                <w:rFonts w:hint="eastAsia" w:ascii="Times New Roman" w:hAnsi="Times New Roman" w:eastAsia="方正仿宋_GBK" w:cs="方正仿宋_GBK"/>
                <w:sz w:val="22"/>
                <w:lang w:val="en-US" w:eastAsia="zh-CN"/>
              </w:rPr>
              <w:t>20</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rPr>
              <w:t>项目过程</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lang w:val="en-US" w:eastAsia="zh-CN"/>
              </w:rPr>
              <w:t>95</w:t>
            </w:r>
            <w:r>
              <w:rPr>
                <w:rFonts w:hint="eastAsia" w:ascii="Times New Roman" w:hAnsi="Times New Roman" w:eastAsia="方正仿宋_GBK" w:cs="方正仿宋_GBK"/>
                <w:sz w:val="22"/>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sz w:val="22"/>
                <w:lang w:val="en-US" w:eastAsia="zh-CN"/>
              </w:rPr>
            </w:pPr>
            <w:r>
              <w:rPr>
                <w:rFonts w:hint="eastAsia" w:ascii="Times New Roman" w:hAnsi="Times New Roman" w:eastAsia="方正仿宋_GBK" w:cs="方正仿宋_GBK"/>
                <w:sz w:val="22"/>
                <w:lang w:val="en-US" w:eastAsia="zh-CN"/>
              </w:rPr>
              <w:t>19</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rPr>
              <w:t>项目产出</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rPr>
              <w:t>40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lang w:val="en-US" w:eastAsia="zh-CN"/>
              </w:rPr>
              <w:t>100</w:t>
            </w:r>
            <w:r>
              <w:rPr>
                <w:rFonts w:hint="eastAsia" w:ascii="Times New Roman" w:hAnsi="Times New Roman" w:eastAsia="方正仿宋_GBK" w:cs="方正仿宋_GBK"/>
                <w:sz w:val="22"/>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2"/>
                <w:lang w:val="en-US" w:eastAsia="zh-CN"/>
              </w:rPr>
            </w:pPr>
            <w:r>
              <w:rPr>
                <w:rFonts w:hint="eastAsia" w:ascii="Times New Roman" w:hAnsi="Times New Roman" w:eastAsia="方正仿宋_GBK" w:cs="方正仿宋_GBK"/>
                <w:sz w:val="22"/>
                <w:lang w:val="en-US" w:eastAsia="zh-CN"/>
              </w:rPr>
              <w:t>40</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rPr>
              <w:t>项目效益</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lang w:val="en-US" w:eastAsia="zh-CN"/>
              </w:rPr>
              <w:t>100</w:t>
            </w:r>
            <w:r>
              <w:rPr>
                <w:rFonts w:hint="eastAsia" w:ascii="Times New Roman" w:hAnsi="Times New Roman" w:eastAsia="方正仿宋_GBK" w:cs="方正仿宋_GBK"/>
                <w:sz w:val="22"/>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2"/>
                <w:lang w:val="en-US" w:eastAsia="zh-CN"/>
              </w:rPr>
            </w:pPr>
            <w:r>
              <w:rPr>
                <w:rFonts w:hint="eastAsia" w:ascii="Times New Roman" w:hAnsi="Times New Roman" w:eastAsia="方正仿宋_GBK" w:cs="方正仿宋_GBK"/>
                <w:sz w:val="22"/>
                <w:lang w:val="en-US" w:eastAsia="zh-CN"/>
              </w:rPr>
              <w:t>20</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adjustRightInd/>
              <w:spacing w:beforeAutospacing="0" w:afterAutospacing="0" w:line="560" w:lineRule="exact"/>
              <w:ind w:left="2" w:right="2" w:firstLine="110"/>
              <w:jc w:val="center"/>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rPr>
              <w:t>合计</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rPr>
              <w:t>100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eastAsia" w:ascii="Times New Roman" w:hAnsi="Times New Roman" w:eastAsia="方正仿宋_GBK" w:cs="方正仿宋_GBK"/>
                <w:sz w:val="22"/>
              </w:rPr>
            </w:pPr>
            <w:r>
              <w:rPr>
                <w:rFonts w:hint="eastAsia" w:ascii="Times New Roman" w:hAnsi="Times New Roman" w:eastAsia="方正仿宋_GBK" w:cs="方正仿宋_GBK"/>
                <w:sz w:val="22"/>
                <w:lang w:val="en-US" w:eastAsia="zh-CN"/>
              </w:rPr>
              <w:t>99</w:t>
            </w:r>
            <w:r>
              <w:rPr>
                <w:rFonts w:hint="eastAsia" w:ascii="Times New Roman" w:hAnsi="Times New Roman" w:eastAsia="方正仿宋_GBK" w:cs="方正仿宋_GBK"/>
                <w:sz w:val="22"/>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adjustRightInd/>
              <w:spacing w:beforeAutospacing="0" w:afterAutospacing="0" w:line="560" w:lineRule="exact"/>
              <w:ind w:left="2" w:right="105" w:firstLine="110"/>
              <w:jc w:val="center"/>
              <w:textAlignment w:val="auto"/>
              <w:rPr>
                <w:rFonts w:hint="default" w:ascii="Times New Roman" w:hAnsi="Times New Roman" w:eastAsia="方正仿宋_GBK" w:cs="方正仿宋_GBK"/>
                <w:sz w:val="22"/>
                <w:lang w:val="en-US" w:eastAsia="zh-CN"/>
              </w:rPr>
            </w:pPr>
            <w:r>
              <w:rPr>
                <w:rFonts w:hint="eastAsia" w:ascii="Times New Roman" w:hAnsi="Times New Roman" w:eastAsia="方正仿宋_GBK" w:cs="方正仿宋_GBK"/>
                <w:sz w:val="22"/>
                <w:lang w:val="en-US" w:eastAsia="zh-CN"/>
              </w:rPr>
              <w:t>99</w:t>
            </w:r>
          </w:p>
        </w:tc>
      </w:tr>
    </w:tbl>
    <w:p>
      <w:pPr>
        <w:pStyle w:val="4"/>
        <w:pageBreakBefore w:val="0"/>
        <w:wordWrap/>
        <w:topLinePunct w:val="0"/>
        <w:bidi w:val="0"/>
        <w:adjustRightInd/>
        <w:spacing w:line="560" w:lineRule="exact"/>
        <w:textAlignment w:val="auto"/>
        <w:rPr>
          <w:rFonts w:hint="eastAsia" w:ascii="方正黑体_GBK" w:hAnsi="方正黑体_GBK" w:eastAsia="方正黑体_GBK" w:cs="方正黑体_GBK"/>
          <w:lang w:val="en-US" w:eastAsia="zh-CN"/>
        </w:rPr>
      </w:pPr>
      <w:bookmarkStart w:id="165" w:name="_Toc25856_WPSOffice_Level1"/>
      <w:r>
        <w:rPr>
          <w:rFonts w:hint="eastAsia" w:ascii="方正黑体_GBK" w:hAnsi="方正黑体_GBK" w:eastAsia="方正黑体_GBK" w:cs="方正黑体_GBK"/>
          <w:lang w:val="en-US" w:eastAsia="zh-CN"/>
        </w:rPr>
        <w:t>四、绩效评价指标分析</w:t>
      </w:r>
      <w:bookmarkEnd w:id="165"/>
    </w:p>
    <w:p>
      <w:pPr>
        <w:pStyle w:val="5"/>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66" w:name="_Toc6550_WPSOffice_Level2"/>
      <w:bookmarkStart w:id="167" w:name="_Toc68364668"/>
      <w:r>
        <w:rPr>
          <w:rFonts w:hint="eastAsia" w:ascii="Times New Roman" w:hAnsi="Times New Roman" w:eastAsia="方正仿宋_GBK" w:cs="方正仿宋_GBK"/>
          <w:lang w:val="en-US" w:eastAsia="zh-CN"/>
        </w:rPr>
        <w:t>（一）项目决策情况</w:t>
      </w:r>
      <w:bookmarkEnd w:id="166"/>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项目决策类指标包括项目立项、绩效目标和资金投入三方面的内容，由6个三级指标构成，权重分为20分，实际得分20分，得分率为100%。</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358"/>
        <w:gridCol w:w="1358"/>
        <w:gridCol w:w="2068"/>
        <w:gridCol w:w="1358"/>
        <w:gridCol w:w="135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一级指标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二级指标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834"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项目决策</w:t>
            </w:r>
          </w:p>
        </w:tc>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项目立项</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立项依据充分性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立项程序规范性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绩效目标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绩效目标合理性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绩效指标明确性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资金投入</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预算编制科学性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资金分配合理性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2499" w:type="pct"/>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z w:val="28"/>
                <w:szCs w:val="28"/>
                <w:lang w:val="en-US" w:eastAsia="zh-CN"/>
              </w:rPr>
              <w:t>20</w:t>
            </w:r>
          </w:p>
        </w:tc>
      </w:tr>
    </w:tbl>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（1）立项依据充分性：该项目依据喀什经济开发区党政联席会第11期会议纪要设立实施，项目立项符合国家法律法规、国民经济发展规划，项目立项与部门职责范围相符。根据评分标准，该指标不扣分，得3分。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2）立项程序规范性：项目根据喀什经济开发区党政联席会第11期会议纪要设立，由喀什经济开发区城东金融贸易发展服务中心制定方案提出申请，喀什经济开发区财政金融局审核批准，项目立项规范，根据评分标准，该指标不扣分，得2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3）绩效目标合理性：通过查看该项目《绩效目标申报表》工作任务目标明确，制定了实施方案，明确了总体思路及目标、并对任务进行了详细分解，对目标进行了细化，绩效目标的设置与实际工作内容相关，按照正常的业绩水平设置了预期产出效益和效果。根据评分标准，该指标不扣分，得3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（4）绩效指标明确性：通过查看该项目《绩效目标申报表》，项目绩效目标细化分解为具体的绩效指标，根据评分标准，该指标不扣分，得2分。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（5）预算编制科学性：通过查看项目预算编制草案，该项目预算编制经过科学论证，内容与项目内容匹配，项目投资额与工作任务相匹配，根据评分标准，该指标不扣分，得5分。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（6）资金分配合理性：项目资金预算草案由喀什经济开发区城东金融贸易发展服务中心制定，喀什经济开发区财政金融局审核，资金分配与实际相适应，根据评分标准，该指标不扣分，得5分。</w:t>
      </w:r>
    </w:p>
    <w:p>
      <w:pPr>
        <w:pStyle w:val="5"/>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68" w:name="_Toc18216_WPSOffice_Level2"/>
      <w:r>
        <w:rPr>
          <w:rFonts w:hint="eastAsia" w:ascii="Times New Roman" w:hAnsi="Times New Roman" w:eastAsia="方正仿宋_GBK" w:cs="方正仿宋_GBK"/>
          <w:lang w:val="en-US" w:eastAsia="zh-CN"/>
        </w:rPr>
        <w:t>（二）项目过程情况</w:t>
      </w:r>
      <w:bookmarkEnd w:id="168"/>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项目过程类指标包括资金管理和组织实施两方面的内容，由5个三级指标构成，权重分为20分，实际得分19分，得分率为95%。</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20"/>
        <w:gridCol w:w="1520"/>
        <w:gridCol w:w="2068"/>
        <w:gridCol w:w="1252"/>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0" w:hRule="atLeast"/>
        </w:trPr>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一级指标</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二级指标</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项目过程</w:t>
            </w:r>
          </w:p>
        </w:tc>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资金管理</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资金到位率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2"/>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预算执行率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2"/>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kern w:val="2"/>
                <w:sz w:val="28"/>
                <w:szCs w:val="2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资金使用合规性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2"/>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2"/>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组织实施</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管理制度健全性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2"/>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2"/>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制度执行有效性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2"/>
                <w:lang w:val="en-US" w:eastAsia="zh-CN" w:bidi="ar"/>
              </w:rPr>
              <w:t>66.6</w:t>
            </w:r>
            <w:r>
              <w:rPr>
                <w:rFonts w:hint="eastAsia" w:ascii="Times New Roman" w:hAnsi="Times New Roman" w:eastAsia="方正仿宋_GBK" w:cs="方正仿宋_GBK"/>
                <w:color w:val="auto"/>
                <w:kern w:val="2"/>
                <w:sz w:val="28"/>
                <w:szCs w:val="22"/>
                <w:lang w:val="en-US" w:eastAsia="zh-CN" w:bidi="ar"/>
              </w:rPr>
              <w:t>%</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eastAsia="zh-CN"/>
              </w:rPr>
            </w:pPr>
            <w:r>
              <w:rPr>
                <w:rFonts w:hint="eastAsia" w:ascii="Times New Roman" w:hAnsi="Times New Roman" w:cs="方正仿宋_GBK"/>
                <w:color w:val="auto"/>
                <w:spacing w:val="6"/>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2726" w:type="pct"/>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2"/>
                <w:lang w:val="en-US" w:eastAsia="zh-CN" w:bidi="ar"/>
              </w:rPr>
              <w:t>95</w:t>
            </w:r>
            <w:r>
              <w:rPr>
                <w:rFonts w:hint="eastAsia" w:ascii="Times New Roman" w:hAnsi="Times New Roman" w:eastAsia="方正仿宋_GBK" w:cs="方正仿宋_GBK"/>
                <w:color w:val="auto"/>
                <w:kern w:val="2"/>
                <w:sz w:val="28"/>
                <w:szCs w:val="22"/>
                <w:lang w:val="en-US" w:eastAsia="zh-CN" w:bidi="ar"/>
              </w:rPr>
              <w:t>%</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cs="方正仿宋_GBK"/>
                <w:color w:val="auto"/>
                <w:kern w:val="2"/>
                <w:sz w:val="28"/>
                <w:szCs w:val="22"/>
                <w:lang w:val="en-US" w:eastAsia="zh-CN" w:bidi="ar"/>
              </w:rPr>
              <w:t>19</w:t>
            </w:r>
          </w:p>
        </w:tc>
      </w:tr>
    </w:tbl>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lang w:val="en-US" w:eastAsia="zh-CN"/>
        </w:rPr>
        <w:t>（1）</w:t>
      </w:r>
      <w:r>
        <w:rPr>
          <w:rFonts w:hint="eastAsia" w:ascii="Times New Roman" w:hAnsi="Times New Roman" w:eastAsia="方正仿宋_GBK" w:cs="方正仿宋_GBK"/>
          <w:b w:val="0"/>
          <w:bCs w:val="0"/>
          <w:color w:val="auto"/>
          <w:kern w:val="0"/>
          <w:sz w:val="32"/>
          <w:szCs w:val="32"/>
          <w:lang w:val="en-US" w:eastAsia="zh-CN" w:bidi="en-US"/>
        </w:rPr>
        <w:t>资金到位率：通过查看年初绩效目标及项目国库支付明细，该项目</w:t>
      </w:r>
      <w:r>
        <w:rPr>
          <w:rFonts w:hint="eastAsia" w:ascii="Times New Roman" w:hAnsi="Times New Roman" w:eastAsia="方正仿宋_GBK" w:cs="方正仿宋_GBK"/>
          <w:sz w:val="32"/>
          <w:szCs w:val="32"/>
        </w:rPr>
        <w:t>资金到位率=（实际到位资金</w:t>
      </w:r>
      <w:r>
        <w:rPr>
          <w:rFonts w:hint="eastAsia" w:ascii="Times New Roman" w:hAnsi="Times New Roman" w:eastAsia="方正仿宋_GBK" w:cs="方正仿宋_GBK"/>
          <w:sz w:val="32"/>
          <w:szCs w:val="32"/>
          <w:lang w:val="en-US" w:eastAsia="zh-CN"/>
        </w:rPr>
        <w:t>923.8</w:t>
      </w:r>
      <w:r>
        <w:rPr>
          <w:rFonts w:hint="eastAsia" w:ascii="Times New Roman" w:hAnsi="Times New Roman" w:eastAsia="方正仿宋_GBK" w:cs="方正仿宋_GBK"/>
          <w:sz w:val="32"/>
          <w:szCs w:val="32"/>
        </w:rPr>
        <w:t>/预算资金</w:t>
      </w:r>
      <w:r>
        <w:rPr>
          <w:rFonts w:hint="eastAsia" w:ascii="Times New Roman" w:hAnsi="Times New Roman" w:eastAsia="方正仿宋_GBK" w:cs="方正仿宋_GBK"/>
          <w:sz w:val="32"/>
          <w:szCs w:val="32"/>
          <w:lang w:val="en-US" w:eastAsia="zh-CN"/>
        </w:rPr>
        <w:t>923.8</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b w:val="0"/>
          <w:bCs w:val="0"/>
          <w:color w:val="auto"/>
          <w:kern w:val="0"/>
          <w:sz w:val="32"/>
          <w:szCs w:val="32"/>
          <w:lang w:val="en-US" w:eastAsia="zh-CN" w:bidi="en-US"/>
        </w:rPr>
        <w:t>资金到位率100%。根据评分标准，该指标不扣分，得5分。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（2）预算执行率：通过查看年初绩效目标及项目国库支付明细，该项目</w:t>
      </w:r>
      <w:r>
        <w:rPr>
          <w:rFonts w:hint="eastAsia" w:ascii="Times New Roman" w:hAnsi="Times New Roman" w:eastAsia="方正仿宋_GBK" w:cs="方正仿宋_GBK"/>
          <w:sz w:val="32"/>
          <w:szCs w:val="32"/>
        </w:rPr>
        <w:t>预算执行率=（实际支出资金</w:t>
      </w:r>
      <w:r>
        <w:rPr>
          <w:rFonts w:hint="eastAsia" w:ascii="Times New Roman" w:hAnsi="Times New Roman" w:eastAsia="方正仿宋_GBK" w:cs="方正仿宋_GBK"/>
          <w:sz w:val="32"/>
          <w:szCs w:val="32"/>
          <w:lang w:val="en-US" w:eastAsia="zh-CN"/>
        </w:rPr>
        <w:t>923.8</w:t>
      </w:r>
      <w:r>
        <w:rPr>
          <w:rFonts w:hint="eastAsia" w:ascii="Times New Roman" w:hAnsi="Times New Roman" w:eastAsia="方正仿宋_GBK" w:cs="方正仿宋_GBK"/>
          <w:sz w:val="32"/>
          <w:szCs w:val="32"/>
        </w:rPr>
        <w:t>/实际到位资金</w:t>
      </w:r>
      <w:r>
        <w:rPr>
          <w:rFonts w:hint="eastAsia" w:ascii="Times New Roman" w:hAnsi="Times New Roman" w:eastAsia="方正仿宋_GBK" w:cs="方正仿宋_GBK"/>
          <w:sz w:val="32"/>
          <w:szCs w:val="32"/>
          <w:lang w:val="en-US" w:eastAsia="zh-CN"/>
        </w:rPr>
        <w:t>923.8</w:t>
      </w:r>
      <w:r>
        <w:rPr>
          <w:rFonts w:hint="eastAsia" w:ascii="Times New Roman" w:hAnsi="Times New Roman" w:eastAsia="方正仿宋_GBK" w:cs="方正仿宋_GBK"/>
          <w:sz w:val="32"/>
          <w:szCs w:val="32"/>
        </w:rPr>
        <w:t>）×100%</w:t>
      </w:r>
      <w:r>
        <w:rPr>
          <w:rFonts w:hint="eastAsia" w:ascii="Times New Roman" w:hAnsi="Times New Roman" w:eastAsia="方正仿宋_GBK" w:cs="方正仿宋_GBK"/>
          <w:sz w:val="32"/>
          <w:szCs w:val="32"/>
          <w:lang w:val="en-US" w:eastAsia="zh-CN"/>
        </w:rPr>
        <w:t>=100%,</w:t>
      </w:r>
      <w:r>
        <w:rPr>
          <w:rFonts w:hint="eastAsia" w:ascii="Times New Roman" w:hAnsi="Times New Roman" w:eastAsia="方正仿宋_GBK" w:cs="方正仿宋_GBK"/>
          <w:b w:val="0"/>
          <w:bCs w:val="0"/>
          <w:color w:val="auto"/>
          <w:kern w:val="0"/>
          <w:sz w:val="32"/>
          <w:szCs w:val="32"/>
          <w:lang w:val="en-US" w:eastAsia="zh-CN" w:bidi="en-US"/>
        </w:rPr>
        <w:t>预算执行率达100%。根据评分标准，该指标不扣分，得5分。</w:t>
      </w:r>
    </w:p>
    <w:p>
      <w:pPr>
        <w:pageBreakBefore w:val="0"/>
        <w:wordWrap/>
        <w:topLinePunct w:val="0"/>
        <w:bidi w:val="0"/>
        <w:adjustRightInd/>
        <w:spacing w:line="560" w:lineRule="exact"/>
        <w:ind w:left="0" w:leftChars="0" w:firstLine="640" w:firstLineChars="200"/>
        <w:textAlignment w:val="auto"/>
        <w:rPr>
          <w:rFonts w:hint="eastAsia" w:ascii="Times New Roman" w:hAnsi="Times New Roman"/>
          <w:lang w:val="en-US" w:eastAsia="zh-CN"/>
        </w:rPr>
      </w:pPr>
      <w:r>
        <w:rPr>
          <w:rFonts w:hint="eastAsia" w:ascii="Times New Roman" w:hAnsi="Times New Roman"/>
          <w:lang w:val="en-US" w:eastAsia="zh-CN"/>
        </w:rPr>
        <w:t>（3）资金使用合规性：资金支出符合喀什经济开发区党政联席会第11期会议纪要内容及单位内控制度，资金使用合规，根据评分标准，该指标不扣分，得5分。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（4）管理制度健全性：制定了财务内控管理办法，对财政专项资金进行严格管理，基本做到了专款专用，根据评分标准，该指标不扣分，得2分。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5）制度执行有效性：喀什经济开发区城东金融贸易发展服务中心严格按照资金管理办法和项目实施方案推进项目资金审核，按照审核结果拨付资金，资金支付手续完备，资金使用合规，零星工程未审计，根据标准，该指标扣1分，得2分。</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69" w:name="_Toc19697_WPSOffice_Level2"/>
      <w:r>
        <w:rPr>
          <w:rFonts w:hint="eastAsia" w:ascii="Times New Roman" w:hAnsi="Times New Roman" w:eastAsia="方正仿宋_GBK" w:cs="方正仿宋_GBK"/>
          <w:sz w:val="32"/>
          <w:szCs w:val="32"/>
          <w:lang w:val="en-US" w:eastAsia="zh-CN"/>
        </w:rPr>
        <w:t>（三）项目产出情况</w:t>
      </w:r>
      <w:bookmarkEnd w:id="169"/>
    </w:p>
    <w:p>
      <w:pPr>
        <w:pageBreakBefore w:val="0"/>
        <w:wordWrap/>
        <w:topLinePunct w:val="0"/>
        <w:bidi w:val="0"/>
        <w:adjustRightInd/>
        <w:spacing w:line="560" w:lineRule="exact"/>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项目产出类指标包括产出数量、产出质量、产出时效、产出成本四方面的内容，由</w:t>
      </w:r>
      <w:r>
        <w:rPr>
          <w:rFonts w:hint="eastAsia" w:ascii="Times New Roman" w:hAnsi="Times New Roman" w:cs="方正仿宋_GBK"/>
          <w:b w:val="0"/>
          <w:bCs w:val="0"/>
          <w:color w:val="000000" w:themeColor="text1"/>
          <w:kern w:val="0"/>
          <w:sz w:val="32"/>
          <w:szCs w:val="32"/>
          <w:lang w:val="en-US" w:eastAsia="zh-CN" w:bidi="en-US"/>
          <w14:textFill>
            <w14:solidFill>
              <w14:schemeClr w14:val="tx1"/>
            </w14:solidFill>
          </w14:textFill>
        </w:rPr>
        <w:t>10</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个三级指标构成，权重分为40分，实际得</w:t>
      </w:r>
      <w:r>
        <w:rPr>
          <w:rFonts w:hint="eastAsia" w:ascii="Times New Roman" w:hAnsi="Times New Roman" w:eastAsia="方正仿宋_GBK" w:cs="方正仿宋_GBK"/>
          <w:b w:val="0"/>
          <w:bCs w:val="0"/>
          <w:color w:val="auto"/>
          <w:kern w:val="0"/>
          <w:sz w:val="32"/>
          <w:szCs w:val="32"/>
          <w:lang w:val="en-US" w:eastAsia="zh-CN" w:bidi="en-US"/>
        </w:rPr>
        <w:t>分40分，得分率为100%。</w:t>
      </w:r>
    </w:p>
    <w:tbl>
      <w:tblPr>
        <w:tblStyle w:val="16"/>
        <w:tblW w:w="52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8"/>
        <w:gridCol w:w="1625"/>
        <w:gridCol w:w="4203"/>
        <w:gridCol w:w="734"/>
        <w:gridCol w:w="101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50"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一级指标</w:t>
            </w:r>
          </w:p>
        </w:tc>
        <w:tc>
          <w:tcPr>
            <w:tcW w:w="85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sz w:val="28"/>
                <w:szCs w:val="28"/>
                <w:lang w:val="en-US" w:eastAsia="zh-CN"/>
              </w:rPr>
              <w:t>二</w:t>
            </w:r>
            <w:r>
              <w:rPr>
                <w:rFonts w:hint="eastAsia" w:ascii="Times New Roman" w:hAnsi="Times New Roman" w:eastAsia="方正仿宋_GBK" w:cs="方正仿宋_GBK"/>
                <w:color w:val="auto"/>
                <w:spacing w:val="6"/>
                <w:sz w:val="28"/>
                <w:szCs w:val="28"/>
              </w:rPr>
              <w:t>级指标</w:t>
            </w:r>
          </w:p>
        </w:tc>
        <w:tc>
          <w:tcPr>
            <w:tcW w:w="220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三级指标</w:t>
            </w:r>
          </w:p>
        </w:tc>
        <w:tc>
          <w:tcPr>
            <w:tcW w:w="38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权重</w:t>
            </w:r>
          </w:p>
        </w:tc>
        <w:tc>
          <w:tcPr>
            <w:tcW w:w="53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得分率</w:t>
            </w:r>
          </w:p>
        </w:tc>
        <w:tc>
          <w:tcPr>
            <w:tcW w:w="57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pct"/>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项目产出</w:t>
            </w:r>
          </w:p>
        </w:tc>
        <w:tc>
          <w:tcPr>
            <w:tcW w:w="852" w:type="pct"/>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产出数量</w:t>
            </w:r>
          </w:p>
        </w:tc>
        <w:tc>
          <w:tcPr>
            <w:tcW w:w="220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sz w:val="28"/>
                <w:szCs w:val="28"/>
                <w:lang w:val="en-US" w:eastAsia="zh-CN"/>
              </w:rPr>
              <w:t>支付尾款项目数量</w:t>
            </w:r>
          </w:p>
        </w:tc>
        <w:tc>
          <w:tcPr>
            <w:tcW w:w="38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w:t>
            </w:r>
          </w:p>
        </w:tc>
        <w:tc>
          <w:tcPr>
            <w:tcW w:w="53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57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50"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52"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220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绿化养护面积</w:t>
            </w:r>
          </w:p>
        </w:tc>
        <w:tc>
          <w:tcPr>
            <w:tcW w:w="38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3</w:t>
            </w:r>
          </w:p>
        </w:tc>
        <w:tc>
          <w:tcPr>
            <w:tcW w:w="53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57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52"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220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道路清洁面积</w:t>
            </w:r>
          </w:p>
        </w:tc>
        <w:tc>
          <w:tcPr>
            <w:tcW w:w="38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3</w:t>
            </w:r>
          </w:p>
        </w:tc>
        <w:tc>
          <w:tcPr>
            <w:tcW w:w="53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57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5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产出质量</w:t>
            </w:r>
          </w:p>
        </w:tc>
        <w:tc>
          <w:tcPr>
            <w:tcW w:w="220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sz w:val="28"/>
                <w:szCs w:val="28"/>
                <w:lang w:val="en-US" w:eastAsia="zh-CN"/>
              </w:rPr>
              <w:t>项目验收合格率</w:t>
            </w:r>
          </w:p>
        </w:tc>
        <w:tc>
          <w:tcPr>
            <w:tcW w:w="38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53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57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5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产出时效</w:t>
            </w:r>
          </w:p>
        </w:tc>
        <w:tc>
          <w:tcPr>
            <w:tcW w:w="220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000000" w:themeColor="text1"/>
                <w:kern w:val="0"/>
                <w:sz w:val="28"/>
                <w:szCs w:val="28"/>
                <w:lang w:val="en-US" w:eastAsia="zh-CN" w:bidi="en-US"/>
                <w14:textFill>
                  <w14:solidFill>
                    <w14:schemeClr w14:val="tx1"/>
                  </w14:solidFill>
                </w14:textFill>
              </w:rPr>
              <w:t>资金到</w:t>
            </w:r>
            <w:r>
              <w:rPr>
                <w:rFonts w:hint="eastAsia" w:ascii="Times New Roman" w:hAnsi="Times New Roman" w:eastAsia="方正仿宋_GBK" w:cs="方正仿宋_GBK"/>
                <w:sz w:val="28"/>
                <w:szCs w:val="28"/>
                <w:lang w:val="en-US" w:eastAsia="zh-CN"/>
              </w:rPr>
              <w:t>位及时率</w:t>
            </w:r>
          </w:p>
        </w:tc>
        <w:tc>
          <w:tcPr>
            <w:tcW w:w="38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10</w:t>
            </w:r>
          </w:p>
        </w:tc>
        <w:tc>
          <w:tcPr>
            <w:tcW w:w="53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57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52" w:type="pct"/>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成本情况</w:t>
            </w:r>
          </w:p>
        </w:tc>
        <w:tc>
          <w:tcPr>
            <w:tcW w:w="220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000000" w:themeColor="text1"/>
                <w:kern w:val="0"/>
                <w:sz w:val="28"/>
                <w:szCs w:val="28"/>
                <w:lang w:val="en-US" w:eastAsia="zh-CN" w:bidi="en-US"/>
                <w14:textFill>
                  <w14:solidFill>
                    <w14:schemeClr w14:val="tx1"/>
                  </w14:solidFill>
                </w14:textFill>
              </w:rPr>
              <w:t>零星</w:t>
            </w:r>
            <w:r>
              <w:rPr>
                <w:rFonts w:hint="eastAsia" w:ascii="Times New Roman" w:hAnsi="Times New Roman" w:eastAsia="方正仿宋_GBK" w:cs="方正仿宋_GBK"/>
                <w:sz w:val="28"/>
                <w:szCs w:val="28"/>
                <w:lang w:val="en-US" w:eastAsia="zh-CN"/>
              </w:rPr>
              <w:t>维修改造工程尾款</w:t>
            </w:r>
          </w:p>
        </w:tc>
        <w:tc>
          <w:tcPr>
            <w:tcW w:w="38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2</w:t>
            </w:r>
          </w:p>
        </w:tc>
        <w:tc>
          <w:tcPr>
            <w:tcW w:w="53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57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52"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220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b w:val="0"/>
                <w:bCs w:val="0"/>
                <w:color w:val="000000" w:themeColor="text1"/>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sz w:val="28"/>
                <w:szCs w:val="28"/>
                <w:lang w:val="en-US" w:eastAsia="zh-CN"/>
              </w:rPr>
              <w:t>2021年绿化环卫公共服务一体化项目三个标段尾款</w:t>
            </w:r>
          </w:p>
        </w:tc>
        <w:tc>
          <w:tcPr>
            <w:tcW w:w="38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2</w:t>
            </w:r>
          </w:p>
        </w:tc>
        <w:tc>
          <w:tcPr>
            <w:tcW w:w="53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57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50"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52"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220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大亚郎游步道周边种植草坪项目</w:t>
            </w:r>
          </w:p>
        </w:tc>
        <w:tc>
          <w:tcPr>
            <w:tcW w:w="38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2</w:t>
            </w:r>
          </w:p>
        </w:tc>
        <w:tc>
          <w:tcPr>
            <w:tcW w:w="53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57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50"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52"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220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2022年绿化养护、道路清洁</w:t>
            </w:r>
          </w:p>
        </w:tc>
        <w:tc>
          <w:tcPr>
            <w:tcW w:w="38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2</w:t>
            </w:r>
          </w:p>
        </w:tc>
        <w:tc>
          <w:tcPr>
            <w:tcW w:w="53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57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450"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52"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220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城东金融贸易区绿化管护</w:t>
            </w:r>
          </w:p>
        </w:tc>
        <w:tc>
          <w:tcPr>
            <w:tcW w:w="38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2</w:t>
            </w:r>
          </w:p>
        </w:tc>
        <w:tc>
          <w:tcPr>
            <w:tcW w:w="53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57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509" w:type="pct"/>
            <w:gridSpan w:val="3"/>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合计</w:t>
            </w:r>
          </w:p>
        </w:tc>
        <w:tc>
          <w:tcPr>
            <w:tcW w:w="385"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40</w:t>
            </w:r>
          </w:p>
        </w:tc>
        <w:tc>
          <w:tcPr>
            <w:tcW w:w="53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57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40</w:t>
            </w:r>
          </w:p>
        </w:tc>
      </w:tr>
    </w:tbl>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70" w:name="_Toc7071_WPSOffice_Level3"/>
      <w:r>
        <w:rPr>
          <w:rFonts w:hint="eastAsia" w:ascii="Times New Roman" w:hAnsi="Times New Roman" w:eastAsia="方正仿宋_GBK" w:cs="方正仿宋_GBK"/>
          <w:sz w:val="32"/>
          <w:szCs w:val="32"/>
          <w:lang w:val="en-US" w:eastAsia="zh-CN"/>
        </w:rPr>
        <w:t>1.对于“产出数量”</w:t>
      </w:r>
      <w:bookmarkEnd w:id="170"/>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支付尾款项目数量，预期目标是大于等于4个，实际完成4个，指标完成率100%。所设分值为4分，实际得分为4分。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绿化养护面积，预期目标是大于等于933000平方米，实际完成933000平方米，指标完成率100%。所设分值为3分，实际得分为3分。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道路清洁面积，预期目标是大于等于1095000平方米，实际完成1095000平方米，指标完成率100%。所设分值为3分，实际得分为3分。</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根据查看“城东金融贸易区2021年绿化环卫公共服务一体化项目一标段、二标段、三标段”政府采购合同和“城东金融贸易区零星维修改造工程项目”政府采购合同，支付尾款项目实际完成4个。根据查看“2022年绿化环卫一体化服务项目”政府采购合同内容绿化养护面积93.3万㎡服务，该指标实际完成933000平方米。根据查看2022年绿化环卫一体化服务项目”政府采购合同内容对城东金融贸易区机动车道路清洁面积71.7万㎡，非机动车道及人行道清洁面积37.8万㎡，合计109.5万㎡，该指标实际完成1095000平方米。</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综上所述，该指标合计得10分。</w:t>
      </w:r>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71" w:name="_Toc3124_WPSOffice_Level3"/>
      <w:r>
        <w:rPr>
          <w:rFonts w:hint="eastAsia" w:ascii="Times New Roman" w:hAnsi="Times New Roman" w:eastAsia="方正仿宋_GBK" w:cs="方正仿宋_GBK"/>
          <w:lang w:val="en-US" w:eastAsia="zh-CN"/>
        </w:rPr>
        <w:t>2.对于“产出质量”</w:t>
      </w:r>
      <w:bookmarkEnd w:id="171"/>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项目验收合格率，预期目标是等于100%，实际完成100%，指标完成率100%。所设分值为10分，实际得分为10分。</w:t>
      </w:r>
    </w:p>
    <w:p>
      <w:pPr>
        <w:pageBreakBefore w:val="0"/>
        <w:wordWrap/>
        <w:topLinePunct w:val="0"/>
        <w:bidi w:val="0"/>
        <w:adjustRightInd/>
        <w:spacing w:line="560" w:lineRule="exact"/>
        <w:textAlignment w:val="auto"/>
        <w:rPr>
          <w:rFonts w:hint="default" w:ascii="Times New Roman" w:hAnsi="Times New Roman"/>
          <w:lang w:val="en-US" w:eastAsia="zh-CN"/>
        </w:rPr>
      </w:pPr>
      <w:r>
        <w:rPr>
          <w:rFonts w:hint="eastAsia" w:ascii="Times New Roman" w:hAnsi="Times New Roman"/>
          <w:lang w:val="en-US" w:eastAsia="zh-CN"/>
        </w:rPr>
        <w:t>根据查看“喀什经济开发区政府采购验收报告”内容验收意见为验收合格，该指标实际完成。</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综上所述，该指标得10分。</w:t>
      </w:r>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72" w:name="_Toc2714_WPSOffice_Level3"/>
      <w:r>
        <w:rPr>
          <w:rFonts w:hint="eastAsia" w:ascii="Times New Roman" w:hAnsi="Times New Roman" w:eastAsia="方正仿宋_GBK" w:cs="方正仿宋_GBK"/>
          <w:lang w:val="en-US" w:eastAsia="zh-CN"/>
        </w:rPr>
        <w:t>3.对于“产出时效”</w:t>
      </w:r>
      <w:bookmarkEnd w:id="172"/>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eastAsia="方正仿宋_GBK" w:cs="方正仿宋_GBK"/>
          <w:b w:val="0"/>
          <w:bCs w:val="0"/>
          <w:color w:val="000000" w:themeColor="text1"/>
          <w:kern w:val="0"/>
          <w:szCs w:val="32"/>
          <w:lang w:val="en-US" w:eastAsia="zh-CN" w:bidi="en-US"/>
          <w14:textFill>
            <w14:solidFill>
              <w14:schemeClr w14:val="tx1"/>
            </w14:solidFill>
          </w14:textFill>
        </w:rPr>
        <w:t>资金到</w:t>
      </w:r>
      <w:r>
        <w:rPr>
          <w:rFonts w:hint="eastAsia" w:ascii="Times New Roman" w:hAnsi="Times New Roman"/>
          <w:lang w:val="en-US" w:eastAsia="zh-CN"/>
        </w:rPr>
        <w:t>位及时率，预期目标是等于100%，实际完成100%，指标完成率100%。所设分值为10分，实际得分为10分。</w:t>
      </w:r>
    </w:p>
    <w:p>
      <w:pPr>
        <w:pageBreakBefore w:val="0"/>
        <w:wordWrap/>
        <w:topLinePunct w:val="0"/>
        <w:bidi w:val="0"/>
        <w:adjustRightInd/>
        <w:spacing w:line="560" w:lineRule="exact"/>
        <w:textAlignment w:val="auto"/>
        <w:rPr>
          <w:rFonts w:hint="default" w:ascii="Times New Roman" w:hAnsi="Times New Roman"/>
          <w:lang w:val="en-US" w:eastAsia="zh-CN"/>
        </w:rPr>
      </w:pPr>
      <w:r>
        <w:rPr>
          <w:rFonts w:hint="eastAsia" w:ascii="Times New Roman" w:hAnsi="Times New Roman"/>
          <w:lang w:val="en-US" w:eastAsia="zh-CN"/>
        </w:rPr>
        <w:t>根据查看“国库集中支付明细表”，该项目资金到位及时，支付及时，实际完成100%。</w:t>
      </w:r>
    </w:p>
    <w:p>
      <w:pPr>
        <w:pageBreakBefore w:val="0"/>
        <w:wordWrap/>
        <w:topLinePunct w:val="0"/>
        <w:bidi w:val="0"/>
        <w:adjustRightInd/>
        <w:spacing w:line="560" w:lineRule="exact"/>
        <w:textAlignment w:val="auto"/>
        <w:rPr>
          <w:rFonts w:hint="eastAsia" w:ascii="Times New Roman" w:hAnsi="Times New Roman" w:eastAsia="方正仿宋_GBK" w:cs="方正仿宋_GBK"/>
          <w:b w:val="0"/>
          <w:bCs w:val="0"/>
          <w:color w:val="000000" w:themeColor="text1"/>
          <w:kern w:val="0"/>
          <w:szCs w:val="32"/>
          <w:lang w:val="en-US" w:eastAsia="zh-CN" w:bidi="en-US"/>
          <w14:textFill>
            <w14:solidFill>
              <w14:schemeClr w14:val="tx1"/>
            </w14:solidFill>
          </w14:textFill>
        </w:rPr>
      </w:pPr>
      <w:r>
        <w:rPr>
          <w:rFonts w:hint="eastAsia" w:ascii="Times New Roman" w:hAnsi="Times New Roman"/>
          <w:lang w:val="en-US" w:eastAsia="zh-CN"/>
        </w:rPr>
        <w:t>综上所述，该指标得</w:t>
      </w:r>
      <w:r>
        <w:rPr>
          <w:rFonts w:hint="eastAsia" w:ascii="Times New Roman" w:hAnsi="Times New Roman" w:eastAsia="方正仿宋_GBK" w:cs="方正仿宋_GBK"/>
          <w:b w:val="0"/>
          <w:bCs w:val="0"/>
          <w:color w:val="000000" w:themeColor="text1"/>
          <w:kern w:val="0"/>
          <w:szCs w:val="32"/>
          <w:lang w:val="en-US" w:eastAsia="zh-CN" w:bidi="en-US"/>
          <w14:textFill>
            <w14:solidFill>
              <w14:schemeClr w14:val="tx1"/>
            </w14:solidFill>
          </w14:textFill>
        </w:rPr>
        <w:t>10分。</w:t>
      </w:r>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73" w:name="_Toc21415_WPSOffice_Level3"/>
      <w:r>
        <w:rPr>
          <w:rFonts w:hint="eastAsia" w:ascii="Times New Roman" w:hAnsi="Times New Roman" w:eastAsia="方正仿宋_GBK" w:cs="方正仿宋_GBK"/>
          <w:lang w:val="en-US" w:eastAsia="zh-CN"/>
        </w:rPr>
        <w:t>4.对于“产出成本”</w:t>
      </w:r>
      <w:bookmarkEnd w:id="173"/>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eastAsia="方正仿宋_GBK" w:cs="方正仿宋_GBK"/>
          <w:b w:val="0"/>
          <w:bCs w:val="0"/>
          <w:color w:val="000000" w:themeColor="text1"/>
          <w:kern w:val="0"/>
          <w:szCs w:val="32"/>
          <w:lang w:val="en-US" w:eastAsia="zh-CN" w:bidi="en-US"/>
          <w14:textFill>
            <w14:solidFill>
              <w14:schemeClr w14:val="tx1"/>
            </w14:solidFill>
          </w14:textFill>
        </w:rPr>
        <w:t>零星</w:t>
      </w:r>
      <w:r>
        <w:rPr>
          <w:rFonts w:hint="eastAsia" w:ascii="Times New Roman" w:hAnsi="Times New Roman"/>
          <w:lang w:val="en-US" w:eastAsia="zh-CN"/>
        </w:rPr>
        <w:t>维修改造工程尾款，预期目标是小于等于308.17万元，实际完成308.17万元，指标完成率100%。所设分值为2分，实际得分为2分。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2021年绿化环卫公共服务一体化项目三个标段尾款，预期目标是小于等于205.58万元，实际完成205.58万元，指标完成率100%。所设分值为2分，实际得分为2分。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大亚郎游步道周边种植草坪项目，预期目标是小于等于2.02万元，实际完成2.02万元，指标完成率100%。所设分值为2分，实际得分为2分。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2022年绿化养护、道路清洁，预期目标是小于等于243万元，实际完成243万元，指标完成率100%。所设分值为2分，实际得分为2分。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城东金融贸易区绿化管护，预期目标是小于等于165.03万元，实际完成165.03万元，指标完成率100%。所设分值为2分，实际得分为2分。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根据查看“国库集中支付明细表”，该项目资金到位及时，支付及时，实际完成100%。</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综上所述，该指标合计得10分。</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74" w:name="_Toc32200_WPSOffice_Level2"/>
      <w:r>
        <w:rPr>
          <w:rFonts w:hint="eastAsia" w:ascii="Times New Roman" w:hAnsi="Times New Roman" w:eastAsia="方正仿宋_GBK" w:cs="方正仿宋_GBK"/>
          <w:sz w:val="32"/>
          <w:szCs w:val="32"/>
          <w:lang w:val="en-US" w:eastAsia="zh-CN"/>
        </w:rPr>
        <w:t>（四）项目效益情况</w:t>
      </w:r>
      <w:bookmarkEnd w:id="174"/>
    </w:p>
    <w:p>
      <w:pPr>
        <w:pageBreakBefore w:val="0"/>
        <w:wordWrap/>
        <w:topLinePunct w:val="0"/>
        <w:bidi w:val="0"/>
        <w:adjustRightInd/>
        <w:spacing w:line="560" w:lineRule="exact"/>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项目效益类指标包括项目效益及满意度两个方面的内容，由2个三级指标</w:t>
      </w:r>
      <w:r>
        <w:rPr>
          <w:rFonts w:hint="eastAsia" w:ascii="Times New Roman" w:hAnsi="Times New Roman" w:eastAsia="方正仿宋_GBK" w:cs="方正仿宋_GBK"/>
          <w:b w:val="0"/>
          <w:bCs w:val="0"/>
          <w:color w:val="auto"/>
          <w:kern w:val="0"/>
          <w:sz w:val="32"/>
          <w:szCs w:val="32"/>
          <w:lang w:val="en-US" w:eastAsia="zh-CN" w:bidi="en-US"/>
        </w:rPr>
        <w:t>构成，权重分为20分，实际得分20分，得分率为100%。</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27"/>
        <w:gridCol w:w="1627"/>
        <w:gridCol w:w="1627"/>
        <w:gridCol w:w="1185"/>
        <w:gridCol w:w="120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trPr>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一级指标</w:t>
            </w: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二级指标</w:t>
            </w: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三级指标</w:t>
            </w:r>
          </w:p>
        </w:tc>
        <w:tc>
          <w:tcPr>
            <w:tcW w:w="66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权重</w:t>
            </w:r>
          </w:p>
        </w:tc>
        <w:tc>
          <w:tcPr>
            <w:tcW w:w="677"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得分率</w:t>
            </w:r>
          </w:p>
        </w:tc>
        <w:tc>
          <w:tcPr>
            <w:tcW w:w="899"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0" w:hRule="atLeast"/>
        </w:trPr>
        <w:tc>
          <w:tcPr>
            <w:tcW w:w="918" w:type="pct"/>
            <w:vMerge w:val="restar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918" w:type="pct"/>
            <w:vMerge w:val="restar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实施效益</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trPr>
        <w:tc>
          <w:tcPr>
            <w:tcW w:w="918" w:type="pct"/>
            <w:vMerge w:val="continue"/>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918" w:type="pct"/>
            <w:vMerge w:val="continue"/>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满意度</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trPr>
        <w:tc>
          <w:tcPr>
            <w:tcW w:w="2754" w:type="pct"/>
            <w:gridSpan w:val="3"/>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合计</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r>
    </w:tbl>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75" w:name="_Toc19889_WPSOffice_Level3"/>
      <w:r>
        <w:rPr>
          <w:rFonts w:hint="eastAsia" w:ascii="Times New Roman" w:hAnsi="Times New Roman" w:eastAsia="方正仿宋_GBK" w:cs="方正仿宋_GBK"/>
          <w:lang w:val="en-US" w:eastAsia="zh-CN"/>
        </w:rPr>
        <w:t>1.实施效益指标</w:t>
      </w:r>
      <w:bookmarkEnd w:id="175"/>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对于“社会效益指标”</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促进整个区域生活环境提升，预期目标是有效促进，实际完成有效促进，指标完成率100%。所设分值为5分，实际得分为5分。</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对于“可持续影响指标”</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受益年限，预期目标是大于等于2年，实际完成2年，指标完成率100%。所设分值为5分，实际得分为5分。</w:t>
      </w:r>
    </w:p>
    <w:p>
      <w:pPr>
        <w:pageBreakBefore w:val="0"/>
        <w:wordWrap/>
        <w:topLinePunct w:val="0"/>
        <w:bidi w:val="0"/>
        <w:adjustRightInd/>
        <w:spacing w:line="560" w:lineRule="exact"/>
        <w:textAlignment w:val="auto"/>
        <w:rPr>
          <w:rFonts w:hint="default" w:ascii="Times New Roman" w:hAnsi="Times New Roman"/>
          <w:lang w:val="en-US" w:eastAsia="zh-CN"/>
        </w:rPr>
      </w:pPr>
      <w:r>
        <w:rPr>
          <w:rFonts w:hint="eastAsia" w:ascii="Times New Roman" w:hAnsi="Times New Roman"/>
          <w:lang w:val="en-US" w:eastAsia="zh-CN"/>
        </w:rPr>
        <w:t>根据查看一张表平台项目满意度调查问卷结果，该项目有效促进了整个区域生活环境提升，2年受益年限，该指标完成。</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综上所述，实施效益指标合计得10分。</w:t>
      </w:r>
    </w:p>
    <w:p>
      <w:pPr>
        <w:pStyle w:val="6"/>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bookmarkStart w:id="176" w:name="_Toc14898_WPSOffice_Level3"/>
      <w:r>
        <w:rPr>
          <w:rFonts w:hint="eastAsia" w:ascii="Times New Roman" w:hAnsi="Times New Roman" w:eastAsia="方正仿宋_GBK" w:cs="方正仿宋_GBK"/>
          <w:lang w:val="en-US" w:eastAsia="zh-CN"/>
        </w:rPr>
        <w:t>2.满意度指标</w:t>
      </w:r>
      <w:bookmarkEnd w:id="176"/>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对于“满意度指标”</w:t>
      </w:r>
    </w:p>
    <w:p>
      <w:pPr>
        <w:pageBreakBefore w:val="0"/>
        <w:wordWrap/>
        <w:topLinePunct w:val="0"/>
        <w:bidi w:val="0"/>
        <w:adjustRightInd/>
        <w:spacing w:line="560" w:lineRule="exact"/>
        <w:textAlignment w:val="auto"/>
        <w:rPr>
          <w:rFonts w:hint="default" w:ascii="Times New Roman" w:hAnsi="Times New Roman"/>
          <w:lang w:val="en-US" w:eastAsia="zh-CN"/>
        </w:rPr>
      </w:pPr>
      <w:r>
        <w:rPr>
          <w:rFonts w:hint="eastAsia" w:ascii="Times New Roman" w:hAnsi="Times New Roman"/>
          <w:lang w:val="en-US" w:eastAsia="zh-CN"/>
        </w:rPr>
        <w:t>城东金融贸易区居民满意度，预期目标是大于等于95%，实际完成100%，指标完成率105%。所设分值为10分，实际得分为10分。</w:t>
      </w:r>
      <w:bookmarkEnd w:id="167"/>
    </w:p>
    <w:p>
      <w:pPr>
        <w:pageBreakBefore w:val="0"/>
        <w:wordWrap/>
        <w:topLinePunct w:val="0"/>
        <w:bidi w:val="0"/>
        <w:adjustRightInd/>
        <w:spacing w:line="560" w:lineRule="exact"/>
        <w:textAlignment w:val="auto"/>
        <w:rPr>
          <w:rFonts w:hint="default" w:ascii="Times New Roman" w:hAnsi="Times New Roman"/>
          <w:lang w:val="en-US" w:eastAsia="zh-CN"/>
        </w:rPr>
      </w:pPr>
      <w:r>
        <w:rPr>
          <w:rFonts w:hint="eastAsia" w:ascii="Times New Roman" w:hAnsi="Times New Roman"/>
          <w:lang w:val="en-US" w:eastAsia="zh-CN"/>
        </w:rPr>
        <w:t>根据查看一张表平台项目满意度调查问卷结果，该项目满意度为100%，该指标完成。</w:t>
      </w:r>
    </w:p>
    <w:p>
      <w:pPr>
        <w:pageBreakBefore w:val="0"/>
        <w:wordWrap/>
        <w:topLinePunct w:val="0"/>
        <w:bidi w:val="0"/>
        <w:adjustRightInd/>
        <w:spacing w:line="560" w:lineRule="exact"/>
        <w:textAlignment w:val="auto"/>
        <w:rPr>
          <w:rFonts w:hint="eastAsia" w:ascii="Times New Roman" w:hAnsi="Times New Roman" w:eastAsia="方正仿宋_GBK" w:cs="方正仿宋_GBK"/>
          <w:b w:val="0"/>
          <w:bCs w:val="0"/>
          <w:color w:val="000000" w:themeColor="text1"/>
          <w:kern w:val="0"/>
          <w:szCs w:val="32"/>
          <w:lang w:val="en-US" w:eastAsia="zh-CN" w:bidi="en-US"/>
          <w14:textFill>
            <w14:solidFill>
              <w14:schemeClr w14:val="tx1"/>
            </w14:solidFill>
          </w14:textFill>
        </w:rPr>
      </w:pPr>
      <w:r>
        <w:rPr>
          <w:rFonts w:hint="eastAsia" w:ascii="Times New Roman" w:hAnsi="Times New Roman"/>
          <w:lang w:val="en-US" w:eastAsia="zh-CN"/>
        </w:rPr>
        <w:t>合计得10分</w:t>
      </w:r>
      <w:r>
        <w:rPr>
          <w:rFonts w:hint="eastAsia" w:ascii="Times New Roman" w:hAnsi="Times New Roman" w:eastAsia="方正仿宋_GBK" w:cs="方正仿宋_GBK"/>
          <w:b w:val="0"/>
          <w:bCs w:val="0"/>
          <w:color w:val="000000" w:themeColor="text1"/>
          <w:kern w:val="0"/>
          <w:szCs w:val="32"/>
          <w:lang w:val="en-US" w:eastAsia="zh-CN" w:bidi="en-US"/>
          <w14:textFill>
            <w14:solidFill>
              <w14:schemeClr w14:val="tx1"/>
            </w14:solidFill>
          </w14:textFill>
        </w:rPr>
        <w:t>。</w:t>
      </w:r>
    </w:p>
    <w:p>
      <w:pPr>
        <w:pStyle w:val="4"/>
        <w:pageBreakBefore w:val="0"/>
        <w:wordWrap/>
        <w:topLinePunct w:val="0"/>
        <w:bidi w:val="0"/>
        <w:adjustRightInd/>
        <w:spacing w:line="560" w:lineRule="exact"/>
        <w:textAlignment w:val="auto"/>
        <w:rPr>
          <w:rFonts w:hint="eastAsia" w:ascii="方正黑体_GBK" w:hAnsi="方正黑体_GBK" w:eastAsia="方正黑体_GBK" w:cs="方正黑体_GBK"/>
          <w:lang w:val="en-US" w:eastAsia="zh-CN"/>
        </w:rPr>
      </w:pPr>
      <w:bookmarkStart w:id="177" w:name="_Toc2810_WPSOffice_Level1"/>
      <w:r>
        <w:rPr>
          <w:rFonts w:hint="eastAsia" w:ascii="方正黑体_GBK" w:hAnsi="方正黑体_GBK" w:eastAsia="方正黑体_GBK" w:cs="方正黑体_GBK"/>
          <w:lang w:val="en-US" w:eastAsia="zh-CN"/>
        </w:rPr>
        <w:t>五、主要经验及做法、存在的问题及原因分析</w:t>
      </w:r>
      <w:bookmarkEnd w:id="177"/>
    </w:p>
    <w:p>
      <w:pPr>
        <w:pStyle w:val="5"/>
        <w:pageBreakBefore w:val="0"/>
        <w:wordWrap/>
        <w:topLinePunct w:val="0"/>
        <w:bidi w:val="0"/>
        <w:adjustRightInd/>
        <w:spacing w:line="560" w:lineRule="exact"/>
        <w:textAlignment w:val="auto"/>
        <w:rPr>
          <w:rFonts w:hint="eastAsia" w:ascii="Times New Roman" w:hAnsi="Times New Roman" w:eastAsia="方正仿宋_GBK" w:cs="方正仿宋_GBK"/>
        </w:rPr>
      </w:pPr>
      <w:bookmarkStart w:id="178" w:name="_Toc7071_WPSOffice_Level2"/>
      <w:r>
        <w:rPr>
          <w:rFonts w:hint="eastAsia" w:ascii="Times New Roman" w:hAnsi="Times New Roman" w:eastAsia="方正仿宋_GBK" w:cs="方正仿宋_GBK"/>
        </w:rPr>
        <w:t>(一)主要经验及做法</w:t>
      </w:r>
      <w:bookmarkEnd w:id="178"/>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该项目通过绩效目标评价管理，总结了工作中的较好的经验，项目实施过程中喀什经济开发区城东金融贸易发展服务中心根据相关实施方案等要求保障了项目的顺利实施，项目的实施遵守相关法律法规和业务管理规定，严格按照立项依据文件和项目实施方案稳步推进工作，有健全的财务管理制度及项目管理制度，每月对绿化养护项目进度情况进行督导检查，对绿化养护面积和成果进行验收，对检查过程中发现的问题及时督促整改，确保了项目按时保质完成；资金的拨付有完整的审批程序和手续，不存在截留、挤占、挪用等情况，预算资金的使用效益达到了最大化。</w:t>
      </w:r>
    </w:p>
    <w:p>
      <w:pPr>
        <w:pStyle w:val="5"/>
        <w:pageBreakBefore w:val="0"/>
        <w:widowControl w:val="0"/>
        <w:wordWrap/>
        <w:topLinePunct w:val="0"/>
        <w:bidi w:val="0"/>
        <w:adjustRightInd/>
        <w:snapToGrid/>
        <w:spacing w:line="560" w:lineRule="exact"/>
        <w:textAlignment w:val="auto"/>
        <w:rPr>
          <w:rFonts w:hint="eastAsia" w:ascii="Times New Roman" w:hAnsi="Times New Roman" w:eastAsia="方正仿宋_GBK" w:cs="方正仿宋_GBK"/>
        </w:rPr>
      </w:pPr>
      <w:bookmarkStart w:id="179" w:name="_Toc3124_WPSOffice_Level2"/>
      <w:r>
        <w:rPr>
          <w:rFonts w:hint="eastAsia" w:ascii="Times New Roman" w:hAnsi="Times New Roman" w:eastAsia="方正仿宋_GBK" w:cs="方正仿宋_GBK"/>
        </w:rPr>
        <w:t>(二)存在的问题</w:t>
      </w:r>
      <w:bookmarkEnd w:id="179"/>
    </w:p>
    <w:p>
      <w:pPr>
        <w:pageBreakBefore w:val="0"/>
        <w:widowControl w:val="0"/>
        <w:wordWrap/>
        <w:topLinePunct w:val="0"/>
        <w:bidi w:val="0"/>
        <w:adjustRightInd/>
        <w:snapToGrid/>
        <w:spacing w:line="560" w:lineRule="exact"/>
        <w:textAlignment w:val="auto"/>
        <w:rPr>
          <w:rFonts w:hint="eastAsia" w:ascii="Times New Roman" w:hAnsi="Times New Roman"/>
          <w:lang w:val="en-US" w:eastAsia="zh-CN"/>
        </w:rPr>
      </w:pPr>
      <w:r>
        <w:rPr>
          <w:rFonts w:hint="eastAsia" w:ascii="Times New Roman" w:hAnsi="Times New Roman"/>
          <w:lang w:val="en-US" w:eastAsia="zh-CN"/>
        </w:rPr>
        <w:t>该项目中的子项目城东金融贸易区范围内的各类零星维修改造项目，未审计。</w:t>
      </w:r>
    </w:p>
    <w:p>
      <w:pPr>
        <w:pStyle w:val="2"/>
        <w:pageBreakBefore w:val="0"/>
        <w:wordWrap/>
        <w:topLinePunct w:val="0"/>
        <w:bidi w:val="0"/>
        <w:adjustRightInd/>
        <w:spacing w:line="560" w:lineRule="exact"/>
        <w:ind w:left="0" w:leftChars="0" w:firstLine="0" w:firstLineChars="0"/>
        <w:textAlignment w:val="auto"/>
        <w:rPr>
          <w:rFonts w:hint="eastAsia" w:ascii="Times New Roman" w:hAnsi="Times New Roman" w:eastAsia="方正仿宋_GBK" w:cs="方正仿宋_GBK"/>
          <w:lang w:val="en-US" w:eastAsia="zh-CN"/>
        </w:rPr>
      </w:pPr>
      <w:r>
        <w:rPr>
          <w:rFonts w:hint="eastAsia" w:ascii="Times New Roman" w:hAnsi="Times New Roman"/>
          <w:lang w:val="en-US" w:eastAsia="zh-CN"/>
        </w:rPr>
        <w:t xml:space="preserve">   因疫情原因的影响，该项目进度款</w:t>
      </w:r>
      <w:r>
        <w:rPr>
          <w:rFonts w:hint="eastAsia" w:ascii="Times New Roman" w:hAnsi="Times New Roman" w:eastAsia="方正仿宋_GBK" w:cs="方正仿宋_GBK"/>
          <w:lang w:val="en-US" w:eastAsia="zh-CN"/>
        </w:rPr>
        <w:t>支付较慢，2021年合同到期时间为2022年4月1日，项目尾款支付时间为2022年9月21日。</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0"/>
        <w:rPr>
          <w:rFonts w:hint="eastAsia" w:ascii="方正黑体_GBK" w:hAnsi="方正黑体_GBK" w:eastAsia="方正黑体_GBK" w:cs="方正黑体_GBK"/>
          <w:b/>
          <w:bCs w:val="0"/>
          <w:sz w:val="32"/>
          <w:szCs w:val="32"/>
        </w:rPr>
      </w:pPr>
      <w:bookmarkStart w:id="180" w:name="_Toc13626_WPSOffice_Level1"/>
      <w:r>
        <w:rPr>
          <w:rFonts w:hint="eastAsia" w:ascii="方正黑体_GBK" w:hAnsi="方正黑体_GBK" w:eastAsia="方正黑体_GBK" w:cs="方正黑体_GBK"/>
          <w:b/>
          <w:bCs w:val="0"/>
          <w:sz w:val="32"/>
          <w:szCs w:val="32"/>
          <w:lang w:val="en-US" w:eastAsia="zh-CN"/>
        </w:rPr>
        <w:t>六、</w:t>
      </w:r>
      <w:r>
        <w:rPr>
          <w:rFonts w:hint="eastAsia" w:ascii="方正黑体_GBK" w:hAnsi="方正黑体_GBK" w:eastAsia="方正黑体_GBK" w:cs="方正黑体_GBK"/>
          <w:b/>
          <w:bCs w:val="0"/>
          <w:sz w:val="32"/>
          <w:szCs w:val="32"/>
        </w:rPr>
        <w:t>有关建议</w:t>
      </w:r>
      <w:bookmarkEnd w:id="180"/>
    </w:p>
    <w:p>
      <w:pPr>
        <w:pStyle w:val="2"/>
        <w:pageBreakBefore w:val="0"/>
        <w:wordWrap/>
        <w:topLinePunct w:val="0"/>
        <w:bidi w:val="0"/>
        <w:adjustRightInd/>
        <w:spacing w:line="560" w:lineRule="exact"/>
        <w:ind w:left="0" w:leftChars="0" w:firstLine="640" w:firstLineChars="200"/>
        <w:textAlignment w:val="auto"/>
        <w:rPr>
          <w:rFonts w:hint="eastAsia" w:ascii="Times New Roman" w:hAnsi="Times New Roman"/>
          <w:lang w:val="en-US" w:eastAsia="zh-CN"/>
        </w:rPr>
      </w:pPr>
      <w:r>
        <w:rPr>
          <w:rFonts w:hint="eastAsia" w:ascii="Times New Roman" w:hAnsi="Times New Roman"/>
          <w:lang w:val="en-US" w:eastAsia="zh-CN"/>
        </w:rPr>
        <w:t>聘请具有审计资质的第三方审计公司评审城东金融贸易区范围内的各类零星维修改造项目，以审定价作为该项目的结算价。</w:t>
      </w:r>
    </w:p>
    <w:p>
      <w:pPr>
        <w:pStyle w:val="2"/>
        <w:pageBreakBefore w:val="0"/>
        <w:wordWrap/>
        <w:topLinePunct w:val="0"/>
        <w:bidi w:val="0"/>
        <w:adjustRightInd/>
        <w:spacing w:line="560" w:lineRule="exact"/>
        <w:ind w:left="0" w:leftChars="0" w:firstLine="640" w:firstLineChars="200"/>
        <w:textAlignment w:val="auto"/>
        <w:rPr>
          <w:rFonts w:hint="default" w:ascii="Times New Roman" w:hAnsi="Times New Roman"/>
          <w:lang w:val="en-US" w:eastAsia="zh-CN"/>
        </w:rPr>
      </w:pPr>
      <w:r>
        <w:rPr>
          <w:rFonts w:hint="eastAsia" w:ascii="Times New Roman" w:hAnsi="Times New Roman"/>
          <w:lang w:val="en-US" w:eastAsia="zh-CN"/>
        </w:rPr>
        <w:t>在项目资金到位的情况下，按照项目施工进度及时支付项目资金，减少项目实施企业资金压力。</w:t>
      </w:r>
    </w:p>
    <w:p>
      <w:pPr>
        <w:pageBreakBefore w:val="0"/>
        <w:widowControl w:val="0"/>
        <w:wordWrap/>
        <w:topLinePunct w:val="0"/>
        <w:bidi w:val="0"/>
        <w:adjustRightInd/>
        <w:snapToGrid/>
        <w:spacing w:line="560" w:lineRule="exact"/>
        <w:ind w:left="0" w:leftChars="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cs="方正仿宋_GBK"/>
          <w:b w:val="0"/>
          <w:bCs w:val="0"/>
          <w:color w:val="000000" w:themeColor="text1"/>
          <w:kern w:val="0"/>
          <w:sz w:val="32"/>
          <w:szCs w:val="32"/>
          <w:lang w:val="en-US" w:eastAsia="zh-CN" w:bidi="en-US"/>
          <w14:textFill>
            <w14:solidFill>
              <w14:schemeClr w14:val="tx1"/>
            </w14:solidFill>
          </w14:textFill>
        </w:rPr>
        <w:t>在绿化养护方面，</w:t>
      </w:r>
      <w:r>
        <w:rPr>
          <w:rFonts w:hint="eastAsia" w:ascii="Times New Roman" w:hAnsi="Times New Roman" w:eastAsia="方正仿宋_GBK" w:cs="方正仿宋_GBK"/>
          <w:lang w:val="en-US" w:eastAsia="zh-CN"/>
        </w:rPr>
        <w:t>绿化带</w:t>
      </w:r>
      <w:r>
        <w:rPr>
          <w:rFonts w:hint="eastAsia" w:ascii="Times New Roman" w:hAnsi="Times New Roman" w:cs="方正仿宋_GBK"/>
          <w:lang w:val="en-US" w:eastAsia="zh-CN"/>
        </w:rPr>
        <w:t>的维护</w:t>
      </w:r>
      <w:r>
        <w:rPr>
          <w:rFonts w:hint="eastAsia" w:ascii="Times New Roman" w:hAnsi="Times New Roman" w:eastAsia="方正仿宋_GBK" w:cs="方正仿宋_GBK"/>
          <w:lang w:val="en-US" w:eastAsia="zh-CN"/>
        </w:rPr>
        <w:t>、绿地的浇灌、施肥、中耕除草、修剪、病虫害防治和监测以及枯死苗木和绿地的补种补植等日常养护工作</w:t>
      </w:r>
      <w:r>
        <w:rPr>
          <w:rFonts w:hint="eastAsia" w:ascii="Times New Roman" w:hAnsi="Times New Roman" w:cs="方正仿宋_GBK"/>
          <w:lang w:val="en-US" w:eastAsia="zh-CN"/>
        </w:rPr>
        <w:t>无法审计，建议建立养护质量等级及苗木的成活率等级，按照不同的等级作为结算的基准。</w:t>
      </w:r>
    </w:p>
    <w:p>
      <w:pPr>
        <w:keepNext/>
        <w:keepLines/>
        <w:pageBreakBefore w:val="0"/>
        <w:widowControl w:val="0"/>
        <w:numPr>
          <w:ilvl w:val="0"/>
          <w:numId w:val="3"/>
        </w:numPr>
        <w:wordWrap/>
        <w:topLinePunct w:val="0"/>
        <w:bidi w:val="0"/>
        <w:adjustRightInd/>
        <w:spacing w:before="200" w:beforeLines="0" w:beforeAutospacing="0" w:after="200" w:afterLines="0" w:afterAutospacing="0" w:line="560" w:lineRule="exact"/>
        <w:ind w:firstLine="643" w:firstLineChars="200"/>
        <w:jc w:val="both"/>
        <w:textAlignment w:val="auto"/>
        <w:outlineLvl w:val="0"/>
        <w:rPr>
          <w:rFonts w:hint="eastAsia" w:ascii="方正黑体_GBK" w:hAnsi="方正黑体_GBK" w:eastAsia="方正黑体_GBK" w:cs="方正黑体_GBK"/>
          <w:b/>
          <w:kern w:val="44"/>
          <w:sz w:val="32"/>
          <w:szCs w:val="22"/>
          <w:lang w:val="en-US" w:eastAsia="zh-CN" w:bidi="ar-SA"/>
        </w:rPr>
      </w:pPr>
      <w:bookmarkStart w:id="181" w:name="_Toc30690_WPSOffice_Level1"/>
      <w:r>
        <w:rPr>
          <w:rFonts w:hint="eastAsia" w:ascii="方正黑体_GBK" w:hAnsi="方正黑体_GBK" w:eastAsia="方正黑体_GBK" w:cs="方正黑体_GBK"/>
          <w:b/>
          <w:kern w:val="44"/>
          <w:sz w:val="32"/>
          <w:szCs w:val="22"/>
          <w:lang w:val="en-US" w:eastAsia="zh-CN" w:bidi="ar-SA"/>
        </w:rPr>
        <w:t>评价结果应用建议</w:t>
      </w:r>
      <w:bookmarkEnd w:id="181"/>
    </w:p>
    <w:p>
      <w:pPr>
        <w:pageBreakBefore w:val="0"/>
        <w:widowControl w:val="0"/>
        <w:numPr>
          <w:ilvl w:val="0"/>
          <w:numId w:val="4"/>
        </w:numPr>
        <w:wordWrap/>
        <w:topLinePunct w:val="0"/>
        <w:bidi w:val="0"/>
        <w:adjustRightInd/>
        <w:spacing w:before="140" w:after="140" w:line="560" w:lineRule="exact"/>
        <w:ind w:left="567" w:firstLine="0" w:firstLineChars="0"/>
        <w:jc w:val="both"/>
        <w:textAlignment w:val="auto"/>
        <w:outlineLvl w:val="1"/>
        <w:rPr>
          <w:rFonts w:hint="eastAsia" w:ascii="Times New Roman" w:hAnsi="Times New Roman" w:eastAsia="方正仿宋_GBK" w:cs="仿宋_GB2312"/>
          <w:b/>
          <w:bCs/>
          <w:kern w:val="2"/>
          <w:sz w:val="32"/>
          <w:szCs w:val="32"/>
          <w:lang w:val="en-US" w:eastAsia="zh-CN" w:bidi="zh-CN"/>
        </w:rPr>
      </w:pPr>
      <w:bookmarkStart w:id="182" w:name="_Toc2714_WPSOffice_Level2"/>
      <w:r>
        <w:rPr>
          <w:rFonts w:hint="eastAsia" w:ascii="Times New Roman" w:hAnsi="Times New Roman" w:eastAsia="方正仿宋_GBK" w:cs="仿宋_GB2312"/>
          <w:b/>
          <w:bCs/>
          <w:kern w:val="2"/>
          <w:sz w:val="32"/>
          <w:szCs w:val="32"/>
          <w:lang w:val="en-US" w:eastAsia="zh-CN" w:bidi="zh-CN"/>
        </w:rPr>
        <w:t>及时对发现的问题进行整改</w:t>
      </w:r>
      <w:bookmarkEnd w:id="182"/>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在绩效管理工作中，针对绩效评价中发现的问题，建议项目管理单位进行梳理，对能够整改的问题及时进行整改，并将整改过程及佐证资料形成档案，提交喀什经济开发区财政金融局进行备案，不能整改的问题以后加强管理，切实提高财政资源配置效率和使用效益。</w:t>
      </w:r>
    </w:p>
    <w:p>
      <w:pPr>
        <w:pageBreakBefore w:val="0"/>
        <w:widowControl w:val="0"/>
        <w:numPr>
          <w:ilvl w:val="0"/>
          <w:numId w:val="4"/>
        </w:numPr>
        <w:wordWrap/>
        <w:topLinePunct w:val="0"/>
        <w:bidi w:val="0"/>
        <w:adjustRightInd/>
        <w:spacing w:before="140" w:after="140" w:line="560" w:lineRule="exact"/>
        <w:ind w:left="567" w:firstLine="0" w:firstLineChars="0"/>
        <w:jc w:val="both"/>
        <w:textAlignment w:val="auto"/>
        <w:outlineLvl w:val="1"/>
        <w:rPr>
          <w:rFonts w:hint="eastAsia" w:ascii="Times New Roman" w:hAnsi="Times New Roman" w:eastAsia="方正仿宋_GBK" w:cs="仿宋_GB2312"/>
          <w:b/>
          <w:bCs/>
          <w:kern w:val="2"/>
          <w:sz w:val="32"/>
          <w:szCs w:val="32"/>
          <w:lang w:val="en-US" w:eastAsia="zh-CN" w:bidi="zh-CN"/>
        </w:rPr>
      </w:pPr>
      <w:bookmarkStart w:id="183" w:name="_Toc21415_WPSOffice_Level2"/>
      <w:r>
        <w:rPr>
          <w:rFonts w:hint="eastAsia" w:ascii="Times New Roman" w:hAnsi="Times New Roman" w:eastAsia="方正仿宋_GBK" w:cs="仿宋_GB2312"/>
          <w:b/>
          <w:bCs/>
          <w:kern w:val="2"/>
          <w:sz w:val="32"/>
          <w:szCs w:val="32"/>
          <w:lang w:val="en-US" w:eastAsia="zh-CN" w:bidi="zh-CN"/>
        </w:rPr>
        <w:t>建立绩效评价结果应用制度</w:t>
      </w:r>
      <w:bookmarkEnd w:id="183"/>
    </w:p>
    <w:p>
      <w:pPr>
        <w:pageBreakBefore w:val="0"/>
        <w:numPr>
          <w:ilvl w:val="0"/>
          <w:numId w:val="5"/>
        </w:numPr>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本单位对该项目全面开展绩效自评工作，对未完成所设施目标中的指标，进行原因分析并提出下一步改进措施，同时将绩效自评结果及时报送喀什经济开发区财政金融局。</w:t>
      </w:r>
    </w:p>
    <w:p>
      <w:pPr>
        <w:pageBreakBefore w:val="0"/>
        <w:numPr>
          <w:ilvl w:val="0"/>
          <w:numId w:val="5"/>
        </w:numPr>
        <w:wordWrap/>
        <w:topLinePunct w:val="0"/>
        <w:bidi w:val="0"/>
        <w:adjustRightInd/>
        <w:spacing w:line="560" w:lineRule="exact"/>
        <w:textAlignment w:val="auto"/>
        <w:rPr>
          <w:rFonts w:hint="default" w:ascii="Times New Roman" w:hAnsi="Times New Roman"/>
          <w:lang w:val="en-US" w:eastAsia="zh-CN"/>
        </w:rPr>
      </w:pPr>
      <w:r>
        <w:rPr>
          <w:rFonts w:hint="eastAsia" w:ascii="Times New Roman" w:hAnsi="Times New Roman"/>
          <w:lang w:val="en-US" w:eastAsia="zh-CN"/>
        </w:rPr>
        <w:t>由喀什经济开发区财政金融局对该项目绩效自评结果进行检查，将检查发现的问题及时反馈本单位，由我单位进行整改。绩效自评结果和抽查结果应当作为我单位改进管理、调整财政支出方向和安排以后年度预算的重要依据。</w:t>
      </w:r>
    </w:p>
    <w:p>
      <w:pPr>
        <w:pageBreakBefore w:val="0"/>
        <w:numPr>
          <w:ilvl w:val="0"/>
          <w:numId w:val="5"/>
        </w:numPr>
        <w:wordWrap/>
        <w:topLinePunct w:val="0"/>
        <w:bidi w:val="0"/>
        <w:adjustRightInd/>
        <w:spacing w:line="560" w:lineRule="exact"/>
        <w:textAlignment w:val="auto"/>
        <w:rPr>
          <w:rFonts w:hint="default" w:ascii="Times New Roman" w:hAnsi="Times New Roman"/>
          <w:lang w:val="en-US" w:eastAsia="zh-CN"/>
        </w:rPr>
      </w:pPr>
      <w:r>
        <w:rPr>
          <w:rFonts w:hint="eastAsia" w:ascii="Times New Roman" w:hAnsi="Times New Roman"/>
          <w:lang w:val="en-US" w:eastAsia="zh-CN"/>
        </w:rPr>
        <w:t>该项目自评完成后，绩效自评报告将按照规定要求，通过门户网站向社会公开，提高绩效管理工作透明度。</w:t>
      </w:r>
    </w:p>
    <w:p>
      <w:pPr>
        <w:pageBreakBefore w:val="0"/>
        <w:numPr>
          <w:ilvl w:val="0"/>
          <w:numId w:val="5"/>
        </w:numPr>
        <w:wordWrap/>
        <w:topLinePunct w:val="0"/>
        <w:bidi w:val="0"/>
        <w:adjustRightInd/>
        <w:spacing w:line="560" w:lineRule="exact"/>
        <w:textAlignment w:val="auto"/>
        <w:rPr>
          <w:rFonts w:hint="default" w:ascii="Times New Roman" w:hAnsi="Times New Roman"/>
          <w:lang w:val="en-US" w:eastAsia="zh-CN"/>
        </w:rPr>
      </w:pPr>
      <w:r>
        <w:rPr>
          <w:rFonts w:hint="eastAsia" w:ascii="Times New Roman" w:hAnsi="Times New Roman"/>
          <w:lang w:val="en-US" w:eastAsia="zh-CN"/>
        </w:rPr>
        <w:t>对项目资金严重低效无效并造成重大损失的责任人，要按照相关规定追责问责。发现违纪违法问题线索的，及时移送纪检监察机关。</w:t>
      </w:r>
    </w:p>
    <w:p>
      <w:pPr>
        <w:pageBreakBefore w:val="0"/>
        <w:widowControl w:val="0"/>
        <w:numPr>
          <w:ilvl w:val="0"/>
          <w:numId w:val="4"/>
        </w:numPr>
        <w:wordWrap/>
        <w:topLinePunct w:val="0"/>
        <w:bidi w:val="0"/>
        <w:adjustRightInd/>
        <w:spacing w:before="140" w:after="140" w:line="560" w:lineRule="exact"/>
        <w:ind w:left="567" w:firstLine="0" w:firstLineChars="0"/>
        <w:jc w:val="both"/>
        <w:textAlignment w:val="auto"/>
        <w:outlineLvl w:val="1"/>
        <w:rPr>
          <w:rFonts w:hint="eastAsia" w:ascii="Times New Roman" w:hAnsi="Times New Roman" w:eastAsia="方正仿宋_GBK" w:cs="仿宋_GB2312"/>
          <w:b/>
          <w:bCs/>
          <w:kern w:val="2"/>
          <w:sz w:val="32"/>
          <w:szCs w:val="32"/>
          <w:lang w:val="en-US" w:eastAsia="zh-CN" w:bidi="zh-CN"/>
        </w:rPr>
      </w:pPr>
      <w:bookmarkStart w:id="184" w:name="_Toc19889_WPSOffice_Level2"/>
      <w:r>
        <w:rPr>
          <w:rFonts w:hint="eastAsia" w:ascii="Times New Roman" w:hAnsi="Times New Roman" w:eastAsia="方正仿宋_GBK" w:cs="仿宋_GB2312"/>
          <w:b/>
          <w:bCs/>
          <w:kern w:val="2"/>
          <w:sz w:val="32"/>
          <w:szCs w:val="32"/>
          <w:lang w:val="en-US" w:eastAsia="zh-CN" w:bidi="zh-CN"/>
        </w:rPr>
        <w:t>强化绩效评价结果应用</w:t>
      </w:r>
      <w:bookmarkEnd w:id="184"/>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一是严格落实评价结果与预算安排挂钩制度。要严格执行《喀什地区财政支出绩效评价结果应用暂行办法》喀地财预﹝2019﹞22号文件规定，充分应用评价结果，对低效无效资金一律削减或取消。</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二是将此次评价工作开展情况及评价结果纳入喀什经济开发区全面实施预算绩效管理年度综合评价考核范畴，年终形成总结报告，上报地委、行署和地区人大。</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三是进一步加大对评价结果的应用，该项目2022年度预算绩效评价情况，可作为以后年度部门单位项目预算编制和安排财政资金的重要依据。</w:t>
      </w:r>
    </w:p>
    <w:p>
      <w:pPr>
        <w:pageBreakBefore w:val="0"/>
        <w:widowControl w:val="0"/>
        <w:numPr>
          <w:ilvl w:val="0"/>
          <w:numId w:val="4"/>
        </w:numPr>
        <w:wordWrap/>
        <w:topLinePunct w:val="0"/>
        <w:bidi w:val="0"/>
        <w:adjustRightInd/>
        <w:spacing w:before="140" w:after="140" w:line="560" w:lineRule="exact"/>
        <w:ind w:left="567" w:firstLine="0" w:firstLineChars="0"/>
        <w:jc w:val="both"/>
        <w:textAlignment w:val="auto"/>
        <w:outlineLvl w:val="1"/>
        <w:rPr>
          <w:rFonts w:hint="eastAsia" w:ascii="Times New Roman" w:hAnsi="Times New Roman" w:eastAsia="方正仿宋_GBK" w:cs="仿宋_GB2312"/>
          <w:b/>
          <w:bCs/>
          <w:kern w:val="2"/>
          <w:sz w:val="32"/>
          <w:szCs w:val="32"/>
          <w:lang w:val="en-US" w:eastAsia="zh-CN" w:bidi="zh-CN"/>
        </w:rPr>
      </w:pPr>
      <w:bookmarkStart w:id="185" w:name="_Toc14898_WPSOffice_Level2"/>
      <w:r>
        <w:rPr>
          <w:rFonts w:hint="eastAsia" w:ascii="Times New Roman" w:hAnsi="Times New Roman" w:eastAsia="方正仿宋_GBK" w:cs="仿宋_GB2312"/>
          <w:b/>
          <w:bCs/>
          <w:kern w:val="2"/>
          <w:sz w:val="32"/>
          <w:szCs w:val="32"/>
          <w:lang w:val="en-US" w:eastAsia="zh-CN" w:bidi="zh-CN"/>
        </w:rPr>
        <w:t>评价结果公开</w:t>
      </w:r>
      <w:bookmarkEnd w:id="185"/>
    </w:p>
    <w:p>
      <w:pPr>
        <w:pageBreakBefore w:val="0"/>
        <w:wordWrap/>
        <w:topLinePunct w:val="0"/>
        <w:bidi w:val="0"/>
        <w:adjustRightInd/>
        <w:spacing w:line="560" w:lineRule="exact"/>
        <w:textAlignment w:val="auto"/>
        <w:rPr>
          <w:rFonts w:hint="eastAsia" w:ascii="Times New Roman" w:hAnsi="Times New Roman" w:eastAsia="方正仿宋_GBK" w:cs="方正仿宋_GBK"/>
          <w:lang w:val="en-US" w:eastAsia="zh-CN"/>
        </w:rPr>
      </w:pPr>
      <w:r>
        <w:rPr>
          <w:rFonts w:hint="eastAsia" w:ascii="Times New Roman" w:hAnsi="Times New Roman"/>
          <w:lang w:val="en-US" w:eastAsia="zh-CN"/>
        </w:rPr>
        <w:t>建议按照政府信息公开管理的相关规定将绩效评价结果（涉密信息除外）向社会公开评价结果，提高工作透明度，接受社会公众的监督。</w:t>
      </w:r>
    </w:p>
    <w:p>
      <w:pPr>
        <w:pStyle w:val="4"/>
        <w:pageBreakBefore w:val="0"/>
        <w:wordWrap/>
        <w:topLinePunct w:val="0"/>
        <w:bidi w:val="0"/>
        <w:adjustRightInd/>
        <w:spacing w:line="560" w:lineRule="exact"/>
        <w:ind w:left="0" w:leftChars="0" w:firstLine="0" w:firstLineChars="0"/>
        <w:textAlignment w:val="auto"/>
        <w:rPr>
          <w:rFonts w:hint="eastAsia" w:ascii="方正黑体_GBK" w:hAnsi="方正黑体_GBK" w:eastAsia="方正黑体_GBK" w:cs="方正黑体_GBK"/>
          <w:lang w:val="en-US" w:eastAsia="zh-CN"/>
        </w:rPr>
      </w:pPr>
      <w:bookmarkStart w:id="186" w:name="_Toc27103_WPSOffice_Level1"/>
      <w:r>
        <w:rPr>
          <w:rFonts w:hint="eastAsia" w:ascii="方正黑体_GBK" w:hAnsi="方正黑体_GBK" w:eastAsia="方正黑体_GBK" w:cs="方正黑体_GBK"/>
          <w:lang w:val="en-US" w:eastAsia="zh-CN"/>
        </w:rPr>
        <w:t>八、其他需要说明的问题</w:t>
      </w:r>
      <w:bookmarkEnd w:id="186"/>
    </w:p>
    <w:p>
      <w:pPr>
        <w:pageBreakBefore w:val="0"/>
        <w:wordWrap/>
        <w:topLinePunct w:val="0"/>
        <w:bidi w:val="0"/>
        <w:adjustRightInd/>
        <w:spacing w:line="560" w:lineRule="exact"/>
        <w:textAlignment w:val="auto"/>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该项目综合评价得分为</w:t>
      </w:r>
      <w:r>
        <w:rPr>
          <w:rFonts w:hint="eastAsia" w:ascii="Times New Roman" w:hAnsi="Times New Roman" w:cs="方正仿宋_GBK"/>
          <w:b w:val="0"/>
          <w:bCs w:val="0"/>
          <w:color w:val="000000" w:themeColor="text1"/>
          <w:kern w:val="0"/>
          <w:sz w:val="32"/>
          <w:szCs w:val="32"/>
          <w:highlight w:val="none"/>
          <w:lang w:val="en-US" w:eastAsia="zh-CN" w:bidi="en-US"/>
          <w14:textFill>
            <w14:solidFill>
              <w14:schemeClr w14:val="tx1"/>
            </w14:solidFill>
          </w14:textFill>
        </w:rPr>
        <w:t>99</w:t>
      </w:r>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分，评定等级为“优秀”，为有效提高财政预算资金的经济性、效率性、效益性和公平性，建议将本次绩效评价结果作为预算单位次年预算编制的重要依据，并优化支出结构、完善相关办法、改进预算管理，该项目可以</w:t>
      </w:r>
      <w:r>
        <w:rPr>
          <w:rFonts w:hint="eastAsia" w:ascii="Times New Roman" w:hAnsi="Times New Roman" w:eastAsia="方正仿宋_GBK" w:cs="方正仿宋_GBK"/>
          <w:i w:val="0"/>
          <w:iCs w:val="0"/>
          <w:caps w:val="0"/>
          <w:color w:val="333333"/>
          <w:spacing w:val="0"/>
          <w:sz w:val="32"/>
          <w:szCs w:val="32"/>
          <w:shd w:val="clear" w:fill="FFFFFF"/>
        </w:rPr>
        <w:t>促进</w:t>
      </w:r>
      <w:r>
        <w:rPr>
          <w:rFonts w:hint="eastAsia" w:ascii="Times New Roman" w:hAnsi="Times New Roman" w:eastAsia="方正仿宋_GBK" w:cs="方正仿宋_GBK"/>
          <w:i w:val="0"/>
          <w:iCs w:val="0"/>
          <w:caps w:val="0"/>
          <w:color w:val="333333"/>
          <w:spacing w:val="0"/>
          <w:sz w:val="32"/>
          <w:szCs w:val="32"/>
          <w:shd w:val="clear" w:fill="FFFFFF"/>
          <w:lang w:eastAsia="zh-CN"/>
        </w:rPr>
        <w:t>城东金融贸易区</w:t>
      </w:r>
      <w:r>
        <w:rPr>
          <w:rFonts w:hint="eastAsia" w:ascii="Times New Roman" w:hAnsi="Times New Roman" w:eastAsia="方正仿宋_GBK" w:cs="方正仿宋_GBK"/>
          <w:i w:val="0"/>
          <w:iCs w:val="0"/>
          <w:caps w:val="0"/>
          <w:color w:val="333333"/>
          <w:spacing w:val="0"/>
          <w:sz w:val="32"/>
          <w:szCs w:val="32"/>
          <w:shd w:val="clear" w:fill="FFFFFF"/>
        </w:rPr>
        <w:t>整个区域生活环境提高，为居民提供良好的生态生活环境</w:t>
      </w:r>
      <w:r>
        <w:rPr>
          <w:rFonts w:hint="eastAsia" w:ascii="Times New Roman" w:hAnsi="Times New Roman" w:eastAsia="方正仿宋_GBK" w:cs="方正仿宋_GBK"/>
          <w:i w:val="0"/>
          <w:iCs w:val="0"/>
          <w:caps w:val="0"/>
          <w:color w:val="333333"/>
          <w:spacing w:val="0"/>
          <w:sz w:val="32"/>
          <w:szCs w:val="32"/>
          <w:shd w:val="clear" w:fill="FFFFFF"/>
          <w:lang w:eastAsia="zh-CN"/>
        </w:rPr>
        <w:t>，</w:t>
      </w:r>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建议根据政策制度，结合喀什经济开发区管理委员会工作安排以及本级财力情况等因素，应优先予以保障本项目，2024年该项目具有继续开展的必要。</w:t>
      </w:r>
    </w:p>
    <w:p>
      <w:pPr>
        <w:pageBreakBefore w:val="0"/>
        <w:wordWrap/>
        <w:topLinePunct w:val="0"/>
        <w:bidi w:val="0"/>
        <w:adjustRightInd/>
        <w:spacing w:line="560" w:lineRule="exact"/>
        <w:textAlignment w:val="auto"/>
        <w:rPr>
          <w:rFonts w:hint="eastAsia" w:ascii="Times New Roman" w:hAnsi="Times New Roman"/>
          <w:lang w:val="en-US" w:eastAsia="zh-CN"/>
        </w:rPr>
      </w:pPr>
      <w:r>
        <w:rPr>
          <w:rFonts w:hint="eastAsia" w:ascii="Times New Roman" w:hAnsi="Times New Roman"/>
          <w:lang w:val="en-US" w:eastAsia="zh-CN"/>
        </w:rPr>
        <w:t>我公司对上述项目支出绩效评价报告内反映内容的真实性、完整性负责，接受上级部门及社会公众监督。</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后附附件：</w:t>
      </w:r>
    </w:p>
    <w:p>
      <w:pPr>
        <w:pageBreakBefore w:val="0"/>
        <w:wordWrap/>
        <w:topLinePunct w:val="0"/>
        <w:bidi w:val="0"/>
        <w:adjustRightInd/>
        <w:spacing w:line="560" w:lineRule="exact"/>
        <w:ind w:left="0" w:leftChars="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bookmarkStart w:id="187" w:name="_Toc4521_WPSOffice_Level1"/>
      <w:bookmarkStart w:id="188" w:name="_Toc30889_WPSOffice_Level1"/>
      <w:bookmarkStart w:id="189" w:name="_Toc29576_WPSOffice_Level1"/>
      <w:bookmarkStart w:id="190" w:name="_Toc17967_WPSOffice_Level1"/>
      <w:bookmarkStart w:id="191" w:name="_Toc16142_WPSOffice_Level1"/>
      <w:bookmarkStart w:id="192" w:name="_Toc3662_WPSOffice_Level1"/>
      <w:bookmarkStart w:id="193" w:name="_Toc11136_WPSOffice_Level1"/>
      <w:bookmarkStart w:id="194" w:name="_Toc15197_WPSOffice_Level1"/>
      <w:bookmarkStart w:id="195" w:name="_Toc22652_WPSOffice_Level1"/>
      <w:r>
        <w:rPr>
          <w:rFonts w:hint="eastAsia" w:ascii="Times New Roman" w:hAnsi="Times New Roman" w:eastAsia="方正仿宋_GBK" w:cs="方正仿宋_GBK"/>
          <w:b w:val="0"/>
          <w:bCs w:val="0"/>
          <w:color w:val="auto"/>
          <w:kern w:val="0"/>
          <w:sz w:val="32"/>
          <w:szCs w:val="32"/>
          <w:lang w:val="en-US" w:eastAsia="zh-CN" w:bidi="en-US"/>
        </w:rPr>
        <w:t>附件一：城东金融贸易区市政维修安装、绿化养护项目综合评分表</w:t>
      </w:r>
      <w:bookmarkEnd w:id="187"/>
      <w:bookmarkEnd w:id="188"/>
      <w:bookmarkEnd w:id="189"/>
      <w:bookmarkEnd w:id="190"/>
      <w:bookmarkEnd w:id="191"/>
      <w:bookmarkEnd w:id="192"/>
      <w:bookmarkEnd w:id="193"/>
      <w:bookmarkEnd w:id="194"/>
      <w:bookmarkEnd w:id="195"/>
    </w:p>
    <w:p>
      <w:pPr>
        <w:pageBreakBefore w:val="0"/>
        <w:wordWrap/>
        <w:topLinePunct w:val="0"/>
        <w:bidi w:val="0"/>
        <w:adjustRightInd/>
        <w:spacing w:line="560" w:lineRule="exact"/>
        <w:ind w:left="0" w:leftChars="0" w:firstLine="640" w:firstLineChars="200"/>
        <w:jc w:val="both"/>
        <w:textAlignment w:val="auto"/>
        <w:rPr>
          <w:rFonts w:hint="eastAsia" w:ascii="Times New Roman" w:hAnsi="Times New Roman" w:cs="方正仿宋_GBK"/>
          <w:b w:val="0"/>
          <w:bCs w:val="0"/>
          <w:color w:val="auto"/>
          <w:kern w:val="0"/>
          <w:sz w:val="32"/>
          <w:szCs w:val="32"/>
          <w:lang w:val="en-US" w:eastAsia="zh-CN" w:bidi="en-US"/>
        </w:rPr>
      </w:pPr>
      <w:bookmarkStart w:id="196" w:name="_Toc12891_WPSOffice_Level1"/>
      <w:bookmarkStart w:id="197" w:name="_Toc10502_WPSOffice_Level1"/>
      <w:bookmarkStart w:id="198" w:name="_Toc5941_WPSOffice_Level1"/>
      <w:bookmarkStart w:id="199" w:name="_Toc27223_WPSOffice_Level1"/>
      <w:bookmarkStart w:id="200" w:name="_Toc2012_WPSOffice_Level1"/>
      <w:bookmarkStart w:id="201" w:name="_Toc3988_WPSOffice_Level1"/>
      <w:bookmarkStart w:id="202" w:name="_Toc19749_WPSOffice_Level1"/>
      <w:bookmarkStart w:id="203" w:name="_Toc25039_WPSOffice_Level1"/>
      <w:bookmarkStart w:id="204" w:name="_Toc3971_WPSOffice_Level1"/>
      <w:r>
        <w:rPr>
          <w:rFonts w:hint="eastAsia" w:ascii="Times New Roman" w:hAnsi="Times New Roman" w:eastAsia="方正仿宋_GBK" w:cs="方正仿宋_GBK"/>
          <w:b w:val="0"/>
          <w:bCs w:val="0"/>
          <w:color w:val="auto"/>
          <w:kern w:val="0"/>
          <w:sz w:val="32"/>
          <w:szCs w:val="32"/>
          <w:lang w:val="en-US" w:eastAsia="zh-CN" w:bidi="en-US"/>
        </w:rPr>
        <w:t>附件二：城东金融贸易区市政维修安装、绿化养护项目</w:t>
      </w:r>
      <w:bookmarkEnd w:id="196"/>
      <w:r>
        <w:rPr>
          <w:rFonts w:hint="eastAsia" w:ascii="Times New Roman" w:hAnsi="Times New Roman" w:cs="方正仿宋_GBK"/>
          <w:b w:val="0"/>
          <w:bCs w:val="0"/>
          <w:color w:val="auto"/>
          <w:kern w:val="0"/>
          <w:sz w:val="32"/>
          <w:szCs w:val="32"/>
          <w:lang w:val="en-US" w:eastAsia="zh-CN" w:bidi="en-US"/>
        </w:rPr>
        <w:t>满意度调查问卷</w:t>
      </w:r>
      <w:bookmarkEnd w:id="197"/>
      <w:bookmarkEnd w:id="198"/>
      <w:bookmarkEnd w:id="199"/>
      <w:bookmarkEnd w:id="200"/>
      <w:bookmarkEnd w:id="201"/>
      <w:bookmarkEnd w:id="202"/>
      <w:bookmarkEnd w:id="203"/>
      <w:bookmarkEnd w:id="204"/>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right"/>
        <w:textAlignment w:val="auto"/>
        <w:rPr>
          <w:rFonts w:hint="eastAsia" w:ascii="Times New Roman" w:hAnsi="Times New Roman" w:eastAsiaTheme="minorEastAsia"/>
          <w:lang w:val="en-US" w:eastAsia="zh-CN"/>
        </w:rPr>
      </w:pPr>
      <w:bookmarkStart w:id="274" w:name="_GoBack"/>
      <w:r>
        <w:rPr>
          <w:rFonts w:hint="eastAsia" w:ascii="Times New Roman" w:hAnsi="Times New Roman" w:eastAsiaTheme="minorEastAsia"/>
          <w:lang w:eastAsia="zh-CN"/>
        </w:rPr>
        <w:drawing>
          <wp:anchor distT="0" distB="0" distL="114300" distR="114300" simplePos="0" relativeHeight="251663360" behindDoc="0" locked="0" layoutInCell="1" allowOverlap="1">
            <wp:simplePos x="0" y="0"/>
            <wp:positionH relativeFrom="column">
              <wp:posOffset>3930015</wp:posOffset>
            </wp:positionH>
            <wp:positionV relativeFrom="page">
              <wp:posOffset>4657725</wp:posOffset>
            </wp:positionV>
            <wp:extent cx="1438910" cy="1438910"/>
            <wp:effectExtent l="0" t="0" r="8890" b="8890"/>
            <wp:wrapNone/>
            <wp:docPr id="7" name="图片 7"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26133559"/>
                    <pic:cNvPicPr>
                      <a:picLocks noChangeAspect="1"/>
                    </pic:cNvPicPr>
                  </pic:nvPicPr>
                  <pic:blipFill>
                    <a:blip r:embed="rId10">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bookmarkEnd w:id="274"/>
      <w:r>
        <w:rPr>
          <w:rFonts w:hint="eastAsia" w:ascii="Times New Roman" w:hAnsi="Times New Roman" w:eastAsiaTheme="minorEastAsia"/>
          <w:lang w:val="en-US" w:eastAsia="zh-CN"/>
        </w:rPr>
        <w:t xml:space="preserve">                           </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right"/>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Theme="minorEastAsia"/>
          <w:lang w:val="en-US" w:eastAsia="zh-CN"/>
        </w:rPr>
        <w:t xml:space="preserve"> </w:t>
      </w:r>
      <w:r>
        <w:rPr>
          <w:rFonts w:hint="eastAsia" w:ascii="Times New Roman" w:hAnsi="Times New Roman" w:eastAsia="方正仿宋_GBK" w:cs="方正仿宋_GBK"/>
          <w:b w:val="0"/>
          <w:bCs w:val="0"/>
          <w:color w:val="auto"/>
          <w:kern w:val="0"/>
          <w:sz w:val="32"/>
          <w:szCs w:val="32"/>
          <w:lang w:val="en-US" w:eastAsia="zh-CN" w:bidi="en-US"/>
        </w:rPr>
        <w:t>新疆鸿晟达信息咨询有限公司</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right"/>
        <w:textAlignment w:val="auto"/>
        <w:rPr>
          <w:rFonts w:hint="eastAsia" w:ascii="Times New Roman" w:hAnsi="Times New Roman" w:eastAsia="方正仿宋_GBK" w:cs="方正仿宋_GBK"/>
          <w:b w:val="0"/>
          <w:bCs w:val="0"/>
          <w:color w:val="auto"/>
          <w:kern w:val="0"/>
          <w:sz w:val="32"/>
          <w:szCs w:val="32"/>
          <w:lang w:val="en-US" w:eastAsia="zh-CN" w:bidi="en-US"/>
        </w:rPr>
      </w:pPr>
    </w:p>
    <w:p>
      <w:pPr>
        <w:pageBreakBefore w:val="0"/>
        <w:wordWrap/>
        <w:topLinePunct w:val="0"/>
        <w:bidi w:val="0"/>
        <w:adjustRightInd/>
        <w:spacing w:line="560" w:lineRule="exact"/>
        <w:ind w:left="0" w:leftChars="0" w:firstLine="640" w:firstLineChars="200"/>
        <w:jc w:val="right"/>
        <w:textAlignment w:val="auto"/>
        <w:rPr>
          <w:rFonts w:hint="default" w:ascii="Times New Roman" w:hAnsi="Times New Roman" w:eastAsia="方正仿宋_GBK" w:cs="方正仿宋_GBK"/>
          <w:b w:val="0"/>
          <w:bCs w:val="0"/>
          <w:color w:val="auto"/>
          <w:kern w:val="0"/>
          <w:sz w:val="32"/>
          <w:szCs w:val="32"/>
          <w:lang w:val="en-US" w:eastAsia="zh-CN" w:bidi="en-US"/>
        </w:rPr>
        <w:sectPr>
          <w:footerReference r:id="rId6" w:type="default"/>
          <w:pgSz w:w="11906" w:h="16838"/>
          <w:pgMar w:top="1984" w:right="1531" w:bottom="1701" w:left="1531" w:header="851" w:footer="992" w:gutter="0"/>
          <w:pgNumType w:fmt="decimal" w:start="1"/>
          <w:cols w:space="0" w:num="1"/>
          <w:rtlGutter w:val="0"/>
          <w:docGrid w:type="lines" w:linePitch="438" w:charSpace="0"/>
        </w:sectPr>
      </w:pPr>
      <w:bookmarkStart w:id="205" w:name="_Toc2882_WPSOffice_Level1"/>
      <w:bookmarkStart w:id="206" w:name="_Toc28561_WPSOffice_Level1"/>
      <w:bookmarkStart w:id="207" w:name="_Toc7599_WPSOffice_Level1"/>
      <w:bookmarkStart w:id="208" w:name="_Toc15541_WPSOffice_Level1"/>
      <w:bookmarkStart w:id="209" w:name="_Toc12967_WPSOffice_Level1"/>
      <w:r>
        <w:rPr>
          <w:rFonts w:hint="eastAsia" w:ascii="Times New Roman" w:hAnsi="Times New Roman" w:eastAsia="方正仿宋_GBK" w:cs="方正仿宋_GBK"/>
          <w:b w:val="0"/>
          <w:bCs w:val="0"/>
          <w:color w:val="auto"/>
          <w:kern w:val="0"/>
          <w:sz w:val="32"/>
          <w:szCs w:val="32"/>
          <w:lang w:val="en-US" w:eastAsia="zh-CN" w:bidi="en-US"/>
        </w:rPr>
        <w:t>2023年7月</w:t>
      </w:r>
    </w:p>
    <w:p>
      <w:pPr>
        <w:ind w:left="0" w:leftChars="0" w:firstLine="0" w:firstLineChars="0"/>
        <w:rPr>
          <w:rFonts w:hint="default" w:ascii="Times New Roman" w:hAnsi="Times New Roman" w:eastAsia="方正仿宋_GBK" w:cs="方正仿宋_GBK"/>
          <w:b w:val="0"/>
          <w:bCs w:val="0"/>
          <w:color w:val="auto"/>
          <w:kern w:val="0"/>
          <w:sz w:val="32"/>
          <w:szCs w:val="32"/>
          <w:lang w:val="en-US" w:eastAsia="zh-CN" w:bidi="en-US"/>
        </w:rPr>
      </w:pPr>
      <w:bookmarkStart w:id="210" w:name="_Toc22965_WPSOffice_Level1"/>
      <w:bookmarkStart w:id="211" w:name="_Toc22215_WPSOffice_Level1"/>
      <w:r>
        <w:rPr>
          <w:rFonts w:hint="eastAsia" w:ascii="Times New Roman" w:hAnsi="Times New Roman" w:eastAsia="方正仿宋_GBK" w:cs="方正仿宋_GBK"/>
          <w:b/>
          <w:bCs/>
          <w:color w:val="auto"/>
          <w:kern w:val="0"/>
          <w:sz w:val="32"/>
          <w:szCs w:val="32"/>
          <w:lang w:val="en-US" w:eastAsia="zh-CN" w:bidi="en-US"/>
        </w:rPr>
        <w:t>附件一：城东金融贸易区市政维修安装、绿化养护项目综合评分表</w:t>
      </w:r>
      <w:bookmarkEnd w:id="205"/>
      <w:bookmarkEnd w:id="206"/>
      <w:bookmarkEnd w:id="207"/>
      <w:bookmarkEnd w:id="208"/>
      <w:bookmarkEnd w:id="209"/>
      <w:bookmarkEnd w:id="210"/>
      <w:bookmarkEnd w:id="211"/>
    </w:p>
    <w:tbl>
      <w:tblPr>
        <w:tblStyle w:val="16"/>
        <w:tblW w:w="4999" w:type="pct"/>
        <w:tblInd w:w="0" w:type="dxa"/>
        <w:tblLayout w:type="autofit"/>
        <w:tblCellMar>
          <w:top w:w="0" w:type="dxa"/>
          <w:left w:w="0" w:type="dxa"/>
          <w:bottom w:w="0" w:type="dxa"/>
          <w:right w:w="0" w:type="dxa"/>
        </w:tblCellMar>
      </w:tblPr>
      <w:tblGrid>
        <w:gridCol w:w="981"/>
        <w:gridCol w:w="1034"/>
        <w:gridCol w:w="1097"/>
        <w:gridCol w:w="4562"/>
        <w:gridCol w:w="3764"/>
        <w:gridCol w:w="750"/>
        <w:gridCol w:w="972"/>
      </w:tblGrid>
      <w:tr>
        <w:tblPrEx>
          <w:tblCellMar>
            <w:top w:w="0" w:type="dxa"/>
            <w:left w:w="0" w:type="dxa"/>
            <w:bottom w:w="0" w:type="dxa"/>
            <w:right w:w="0" w:type="dxa"/>
          </w:tblCellMar>
        </w:tblPrEx>
        <w:trPr>
          <w:trHeight w:val="400" w:hRule="atLeast"/>
          <w:tblHeader/>
        </w:trPr>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一级指标</w:t>
            </w: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二级指标</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三级指标</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评价标准</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评分过程</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扣分</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实际得分</w:t>
            </w:r>
          </w:p>
        </w:tc>
      </w:tr>
      <w:tr>
        <w:tblPrEx>
          <w:tblCellMar>
            <w:top w:w="0" w:type="dxa"/>
            <w:left w:w="0" w:type="dxa"/>
            <w:bottom w:w="0" w:type="dxa"/>
            <w:right w:w="0" w:type="dxa"/>
          </w:tblCellMar>
        </w:tblPrEx>
        <w:trPr>
          <w:trHeight w:val="90" w:hRule="atLeast"/>
        </w:trPr>
        <w:tc>
          <w:tcPr>
            <w:tcW w:w="37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决策（20分）</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项目立项（5分）</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立项依据充分性（3分）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该项目依据喀什经济开发区党政联席会第11期会议纪要设立实施。项目立项符合国家法律法规、国民经济发展规划，项目立项与部门职责范围相符。根据评分标准，该指标不扣分，得3分。</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3</w:t>
            </w:r>
          </w:p>
        </w:tc>
      </w:tr>
      <w:tr>
        <w:tblPrEx>
          <w:tblCellMar>
            <w:top w:w="0" w:type="dxa"/>
            <w:left w:w="0" w:type="dxa"/>
            <w:bottom w:w="0" w:type="dxa"/>
            <w:right w:w="0" w:type="dxa"/>
          </w:tblCellMar>
        </w:tblPrEx>
        <w:trPr>
          <w:trHeight w:val="1431"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立项程序</w:t>
            </w:r>
            <w:r>
              <w:rPr>
                <w:rFonts w:hint="eastAsia" w:ascii="Times New Roman" w:hAnsi="Times New Roman" w:eastAsia="方正仿宋_GBK" w:cs="方正仿宋_GBK"/>
                <w:sz w:val="20"/>
                <w:szCs w:val="20"/>
                <w:lang w:eastAsia="zh-CN"/>
              </w:rPr>
              <w:t>规范性</w:t>
            </w:r>
            <w:r>
              <w:rPr>
                <w:rFonts w:hint="eastAsia" w:ascii="Times New Roman" w:hAnsi="Times New Roman" w:eastAsia="方正仿宋_GBK" w:cs="方正仿宋_GBK"/>
                <w:sz w:val="20"/>
                <w:szCs w:val="20"/>
              </w:rPr>
              <w:t>（2分）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①项目是否按照规定的程序申请设立；②审批文件、材料是否符合相关要求；③事前是否已经过必要的可行性研究、专家论证、风险评估、绩效评估、集体决策。</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项目根据喀什经济开发区党政联席会第11期会议纪要设立，由喀什经济开发区城东金融贸易发展服务中心制定方案提出申请，喀什经济开发区财政金融局审核批准，项目立项规范，根据评分标准，该指标不扣分，得2分。</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2</w:t>
            </w:r>
          </w:p>
        </w:tc>
      </w:tr>
      <w:tr>
        <w:tblPrEx>
          <w:tblCellMar>
            <w:top w:w="0" w:type="dxa"/>
            <w:left w:w="0" w:type="dxa"/>
            <w:bottom w:w="0" w:type="dxa"/>
            <w:right w:w="0" w:type="dxa"/>
          </w:tblCellMar>
        </w:tblPrEx>
        <w:trPr>
          <w:trHeight w:val="90"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绩效目标（5分）</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绩效目标</w:t>
            </w:r>
            <w:r>
              <w:rPr>
                <w:rFonts w:hint="eastAsia" w:ascii="Times New Roman" w:hAnsi="Times New Roman" w:eastAsia="方正仿宋_GBK" w:cs="方正仿宋_GBK"/>
                <w:sz w:val="20"/>
                <w:szCs w:val="20"/>
                <w:lang w:eastAsia="zh-CN"/>
              </w:rPr>
              <w:t>合理性</w:t>
            </w:r>
            <w:r>
              <w:rPr>
                <w:rFonts w:hint="eastAsia" w:ascii="Times New Roman" w:hAnsi="Times New Roman" w:eastAsia="方正仿宋_GBK" w:cs="方正仿宋_GBK"/>
                <w:sz w:val="20"/>
                <w:szCs w:val="20"/>
              </w:rPr>
              <w:t>（3分）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①项目是否有绩效目标；②项目绩效目标与实际工作内容是否具有相关性；③项目预期产出效益和效果是否符合正常的业绩水平；④是否与预算确定的项目投资额或资金量相匹配。</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通过查看该项目《绩效目标申报表》工作任务目标明确，制定了实施方案，明确了总体思路及目标、并对任务进行了详细分解，对目标进行了细化，绩效目标的设置与实际工作内容相关，按照正常的业绩水平设置了预期产出效益和效果。根据评分标准，该指标不扣分，得3分。</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3</w:t>
            </w:r>
          </w:p>
        </w:tc>
      </w:tr>
      <w:tr>
        <w:tblPrEx>
          <w:tblCellMar>
            <w:top w:w="0" w:type="dxa"/>
            <w:left w:w="0" w:type="dxa"/>
            <w:bottom w:w="0" w:type="dxa"/>
            <w:right w:w="0" w:type="dxa"/>
          </w:tblCellMar>
        </w:tblPrEx>
        <w:trPr>
          <w:trHeight w:val="1572"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绩效指标</w:t>
            </w:r>
            <w:r>
              <w:rPr>
                <w:rFonts w:hint="eastAsia" w:ascii="Times New Roman" w:hAnsi="Times New Roman" w:eastAsia="方正仿宋_GBK" w:cs="方正仿宋_GBK"/>
                <w:sz w:val="20"/>
                <w:szCs w:val="20"/>
                <w:lang w:eastAsia="zh-CN"/>
              </w:rPr>
              <w:t>明确性</w:t>
            </w:r>
            <w:r>
              <w:rPr>
                <w:rFonts w:hint="eastAsia" w:ascii="Times New Roman" w:hAnsi="Times New Roman" w:eastAsia="方正仿宋_GBK" w:cs="方正仿宋_GBK"/>
                <w:sz w:val="20"/>
                <w:szCs w:val="20"/>
              </w:rPr>
              <w:t>（2分）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①是否将项目绩效目标细化分解为具体的绩效指标；②是否通过清晰、可衡量的指标值予以体现；③是否与项目目标任务数或计划数相对应。</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通过查看该项目《绩效目标申报表》，项目绩效目标细化分解为具体的绩效指标，根据评分标准，该指标不扣分，得2分。</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2</w:t>
            </w:r>
          </w:p>
        </w:tc>
      </w:tr>
      <w:tr>
        <w:tblPrEx>
          <w:tblCellMar>
            <w:top w:w="0" w:type="dxa"/>
            <w:left w:w="0" w:type="dxa"/>
            <w:bottom w:w="0" w:type="dxa"/>
            <w:right w:w="0" w:type="dxa"/>
          </w:tblCellMar>
        </w:tblPrEx>
        <w:trPr>
          <w:trHeight w:val="1452"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资金投入（10分）</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预算编制</w:t>
            </w:r>
            <w:r>
              <w:rPr>
                <w:rFonts w:hint="eastAsia" w:ascii="Times New Roman" w:hAnsi="Times New Roman" w:eastAsia="方正仿宋_GBK" w:cs="方正仿宋_GBK"/>
                <w:sz w:val="20"/>
                <w:szCs w:val="20"/>
                <w:lang w:eastAsia="zh-CN"/>
              </w:rPr>
              <w:t>科学性</w:t>
            </w:r>
            <w:r>
              <w:rPr>
                <w:rFonts w:hint="eastAsia" w:ascii="Times New Roman" w:hAnsi="Times New Roman" w:eastAsia="方正仿宋_GBK" w:cs="方正仿宋_GBK"/>
                <w:sz w:val="20"/>
                <w:szCs w:val="20"/>
              </w:rPr>
              <w:t>（5分）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①预算编制是否经过科学论证；②预算内容与项目内容是否匹配；③预算额度测算依据是否充分，是否按照标准编制；④预算确定的项目投资额或资金量是否与工作任务相匹配。</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通过查看项目预算编制草案，该项目预算编制经过科学论证，内容与项目内容匹配，项目投资额与工作任务相匹配，根据评分标准，该指标不扣分，得5分。</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5</w:t>
            </w:r>
          </w:p>
        </w:tc>
      </w:tr>
      <w:tr>
        <w:tblPrEx>
          <w:tblCellMar>
            <w:top w:w="0" w:type="dxa"/>
            <w:left w:w="0" w:type="dxa"/>
            <w:bottom w:w="0" w:type="dxa"/>
            <w:right w:w="0" w:type="dxa"/>
          </w:tblCellMar>
        </w:tblPrEx>
        <w:trPr>
          <w:trHeight w:val="1184"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资金分配合理性（5分）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①预算资金分配依据是否充分；②资金分配额度是否合理，与项目单位或地方实际是否相适应。</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项目资金预算草案由喀什经济开发区城东金融贸易发展服务中心制定，喀什经济开发区财政金融局审核，资金分配与实际相适应，根据评分标准，该指标不扣分，得5分。</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5</w:t>
            </w:r>
          </w:p>
        </w:tc>
      </w:tr>
      <w:tr>
        <w:tblPrEx>
          <w:tblCellMar>
            <w:top w:w="0" w:type="dxa"/>
            <w:left w:w="0" w:type="dxa"/>
            <w:bottom w:w="0" w:type="dxa"/>
            <w:right w:w="0" w:type="dxa"/>
          </w:tblCellMar>
        </w:tblPrEx>
        <w:trPr>
          <w:trHeight w:val="556" w:hRule="atLeast"/>
        </w:trPr>
        <w:tc>
          <w:tcPr>
            <w:tcW w:w="37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过程（20分）</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资金管理（15分）</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资金到位率（5分）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资金到位率=（实际到位资金/预算资金）×100%。实际到位资金：一定时期（本年度或项目期）内落实到具体项目的资金。预算资金：一定时期（本年度或项目期）内预算安排到具体项目的资金。</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b w:val="0"/>
                <w:bCs w:val="0"/>
                <w:color w:val="auto"/>
                <w:kern w:val="0"/>
                <w:sz w:val="20"/>
                <w:szCs w:val="20"/>
                <w:lang w:val="en-US" w:eastAsia="zh-CN" w:bidi="en-US"/>
              </w:rPr>
            </w:pPr>
            <w:r>
              <w:rPr>
                <w:rFonts w:hint="eastAsia" w:ascii="Times New Roman" w:hAnsi="Times New Roman" w:eastAsia="方正仿宋_GBK" w:cs="方正仿宋_GBK"/>
                <w:b w:val="0"/>
                <w:bCs w:val="0"/>
                <w:color w:val="auto"/>
                <w:kern w:val="0"/>
                <w:sz w:val="20"/>
                <w:szCs w:val="20"/>
                <w:lang w:val="en-US" w:eastAsia="zh-CN" w:bidi="en-US"/>
              </w:rPr>
              <w:t>资金到位率：通过查看年初绩效目标及项目国库支付明细，该项目</w:t>
            </w:r>
            <w:r>
              <w:rPr>
                <w:rFonts w:hint="eastAsia" w:ascii="Times New Roman" w:hAnsi="Times New Roman" w:eastAsia="方正仿宋_GBK" w:cs="方正仿宋_GBK"/>
                <w:sz w:val="20"/>
                <w:szCs w:val="20"/>
              </w:rPr>
              <w:t>资金到位率=（实际到位资金</w:t>
            </w:r>
            <w:r>
              <w:rPr>
                <w:rFonts w:hint="eastAsia" w:ascii="Times New Roman" w:hAnsi="Times New Roman" w:eastAsia="方正仿宋_GBK" w:cs="方正仿宋_GBK"/>
                <w:sz w:val="20"/>
                <w:szCs w:val="20"/>
                <w:lang w:val="en-US" w:eastAsia="zh-CN"/>
              </w:rPr>
              <w:t>923.8</w:t>
            </w:r>
            <w:r>
              <w:rPr>
                <w:rFonts w:hint="eastAsia" w:ascii="Times New Roman" w:hAnsi="Times New Roman" w:eastAsia="方正仿宋_GBK" w:cs="方正仿宋_GBK"/>
                <w:sz w:val="20"/>
                <w:szCs w:val="20"/>
              </w:rPr>
              <w:t>/预算资金</w:t>
            </w:r>
            <w:r>
              <w:rPr>
                <w:rFonts w:hint="eastAsia" w:ascii="Times New Roman" w:hAnsi="Times New Roman" w:eastAsia="方正仿宋_GBK" w:cs="方正仿宋_GBK"/>
                <w:sz w:val="20"/>
                <w:szCs w:val="20"/>
                <w:lang w:val="en-US" w:eastAsia="zh-CN"/>
              </w:rPr>
              <w:t>923.8</w:t>
            </w:r>
            <w:r>
              <w:rPr>
                <w:rFonts w:hint="eastAsia" w:ascii="Times New Roman" w:hAnsi="Times New Roman" w:eastAsia="方正仿宋_GBK" w:cs="方正仿宋_GBK"/>
                <w:sz w:val="20"/>
                <w:szCs w:val="20"/>
              </w:rPr>
              <w:t>）×100%</w:t>
            </w:r>
            <w:r>
              <w:rPr>
                <w:rFonts w:hint="eastAsia" w:ascii="Times New Roman" w:hAnsi="Times New Roman" w:eastAsia="方正仿宋_GBK" w:cs="方正仿宋_GBK"/>
                <w:sz w:val="20"/>
                <w:szCs w:val="20"/>
                <w:lang w:val="en-US" w:eastAsia="zh-CN"/>
              </w:rPr>
              <w:t>=100%,</w:t>
            </w:r>
            <w:r>
              <w:rPr>
                <w:rFonts w:hint="eastAsia" w:ascii="Times New Roman" w:hAnsi="Times New Roman" w:eastAsia="方正仿宋_GBK" w:cs="方正仿宋_GBK"/>
                <w:b w:val="0"/>
                <w:bCs w:val="0"/>
                <w:color w:val="auto"/>
                <w:kern w:val="0"/>
                <w:sz w:val="20"/>
                <w:szCs w:val="20"/>
                <w:lang w:val="en-US" w:eastAsia="zh-CN" w:bidi="en-US"/>
              </w:rPr>
              <w:t>资金到位率100%。根据评分标准，该指标不扣分，得5分。</w:t>
            </w:r>
          </w:p>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Times New Roman" w:hAnsi="Times New Roman" w:eastAsia="方正仿宋_GBK" w:cs="方正仿宋_GBK"/>
                <w:b w:val="0"/>
                <w:bCs w:val="0"/>
                <w:color w:val="auto"/>
                <w:kern w:val="0"/>
                <w:sz w:val="20"/>
                <w:szCs w:val="20"/>
                <w:lang w:val="en-US" w:eastAsia="zh-CN" w:bidi="en-US"/>
              </w:rPr>
            </w:pP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firstLine="200"/>
              <w:textAlignment w:val="auto"/>
              <w:rPr>
                <w:rFonts w:hint="eastAsia" w:ascii="Times New Roman" w:hAnsi="Times New Roman" w:eastAsia="方正仿宋_GBK" w:cs="方正仿宋_GBK"/>
                <w:sz w:val="20"/>
                <w:szCs w:val="20"/>
                <w:lang w:val="en-US" w:eastAsia="zh-CN"/>
              </w:rPr>
            </w:pP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5</w:t>
            </w:r>
          </w:p>
        </w:tc>
      </w:tr>
      <w:tr>
        <w:tblPrEx>
          <w:tblCellMar>
            <w:top w:w="0" w:type="dxa"/>
            <w:left w:w="0" w:type="dxa"/>
            <w:bottom w:w="0" w:type="dxa"/>
            <w:right w:w="0" w:type="dxa"/>
          </w:tblCellMar>
        </w:tblPrEx>
        <w:trPr>
          <w:trHeight w:val="1737"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预算执行率（5分）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预算执行率=（实际支出资金/实际到位资金）×100%。实际支出资金：一定时期（本年度或项目期）内项目实际拨付的资金。</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b w:val="0"/>
                <w:bCs w:val="0"/>
                <w:color w:val="auto"/>
                <w:kern w:val="0"/>
                <w:sz w:val="20"/>
                <w:szCs w:val="20"/>
                <w:lang w:val="en-US" w:eastAsia="zh-CN" w:bidi="en-US"/>
              </w:rPr>
              <w:t>通过查看年初绩效目标及项目国库支付明细，该项目</w:t>
            </w:r>
            <w:r>
              <w:rPr>
                <w:rFonts w:hint="eastAsia" w:ascii="Times New Roman" w:hAnsi="Times New Roman" w:eastAsia="方正仿宋_GBK" w:cs="方正仿宋_GBK"/>
                <w:sz w:val="20"/>
                <w:szCs w:val="20"/>
              </w:rPr>
              <w:t>预算执行率=（实际支出资金</w:t>
            </w:r>
            <w:r>
              <w:rPr>
                <w:rFonts w:hint="eastAsia" w:ascii="Times New Roman" w:hAnsi="Times New Roman" w:eastAsia="方正仿宋_GBK" w:cs="方正仿宋_GBK"/>
                <w:sz w:val="20"/>
                <w:szCs w:val="20"/>
                <w:lang w:val="en-US" w:eastAsia="zh-CN"/>
              </w:rPr>
              <w:t>923.8</w:t>
            </w:r>
            <w:r>
              <w:rPr>
                <w:rFonts w:hint="eastAsia" w:ascii="Times New Roman" w:hAnsi="Times New Roman" w:eastAsia="方正仿宋_GBK" w:cs="方正仿宋_GBK"/>
                <w:sz w:val="20"/>
                <w:szCs w:val="20"/>
              </w:rPr>
              <w:t>/实际到位资金</w:t>
            </w:r>
            <w:r>
              <w:rPr>
                <w:rFonts w:hint="eastAsia" w:ascii="Times New Roman" w:hAnsi="Times New Roman" w:eastAsia="方正仿宋_GBK" w:cs="方正仿宋_GBK"/>
                <w:sz w:val="20"/>
                <w:szCs w:val="20"/>
                <w:lang w:val="en-US" w:eastAsia="zh-CN"/>
              </w:rPr>
              <w:t>923.8</w:t>
            </w:r>
            <w:r>
              <w:rPr>
                <w:rFonts w:hint="eastAsia" w:ascii="Times New Roman" w:hAnsi="Times New Roman" w:eastAsia="方正仿宋_GBK" w:cs="方正仿宋_GBK"/>
                <w:sz w:val="20"/>
                <w:szCs w:val="20"/>
              </w:rPr>
              <w:t>）×100%</w:t>
            </w:r>
            <w:r>
              <w:rPr>
                <w:rFonts w:hint="eastAsia" w:ascii="Times New Roman" w:hAnsi="Times New Roman" w:eastAsia="方正仿宋_GBK" w:cs="方正仿宋_GBK"/>
                <w:sz w:val="20"/>
                <w:szCs w:val="20"/>
                <w:lang w:val="en-US" w:eastAsia="zh-CN"/>
              </w:rPr>
              <w:t>=100%,</w:t>
            </w:r>
            <w:r>
              <w:rPr>
                <w:rFonts w:hint="eastAsia" w:ascii="Times New Roman" w:hAnsi="Times New Roman" w:eastAsia="方正仿宋_GBK" w:cs="方正仿宋_GBK"/>
                <w:b w:val="0"/>
                <w:bCs w:val="0"/>
                <w:color w:val="auto"/>
                <w:kern w:val="0"/>
                <w:sz w:val="20"/>
                <w:szCs w:val="20"/>
                <w:lang w:val="en-US" w:eastAsia="zh-CN" w:bidi="en-US"/>
              </w:rPr>
              <w:t>预算执行率达100%。根据评分标准，该指标不扣分，得5分。</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5</w:t>
            </w:r>
          </w:p>
        </w:tc>
      </w:tr>
      <w:tr>
        <w:tblPrEx>
          <w:tblCellMar>
            <w:top w:w="0" w:type="dxa"/>
            <w:left w:w="0" w:type="dxa"/>
            <w:bottom w:w="0" w:type="dxa"/>
            <w:right w:w="0" w:type="dxa"/>
          </w:tblCellMar>
        </w:tblPrEx>
        <w:trPr>
          <w:trHeight w:val="1718"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资金使用合规性（5分）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资金支出符合喀什经济开发区党政联席会第11期会议纪要内容及单位内控制度，资金使用合规，根据评分标准，该指标不扣分，得5分。</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5</w:t>
            </w:r>
          </w:p>
        </w:tc>
      </w:tr>
      <w:tr>
        <w:tblPrEx>
          <w:tblCellMar>
            <w:top w:w="0" w:type="dxa"/>
            <w:left w:w="0" w:type="dxa"/>
            <w:bottom w:w="0" w:type="dxa"/>
            <w:right w:w="0" w:type="dxa"/>
          </w:tblCellMar>
        </w:tblPrEx>
        <w:trPr>
          <w:trHeight w:val="1643"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组织实施（5分）</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管理制度健全性（2分）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①是否已制定或具有相应的财务和业务管理制度；②财务和业务管理制度是否合法、合规、完整。</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制定了财务内控管理办法，对财政专项资金进行严格管理，基本做到了专款专用，根据评分标准，该指标不扣分，得2分。</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2</w:t>
            </w:r>
          </w:p>
        </w:tc>
      </w:tr>
      <w:tr>
        <w:tblPrEx>
          <w:tblCellMar>
            <w:top w:w="0" w:type="dxa"/>
            <w:left w:w="0" w:type="dxa"/>
            <w:bottom w:w="0" w:type="dxa"/>
            <w:right w:w="0" w:type="dxa"/>
          </w:tblCellMar>
        </w:tblPrEx>
        <w:trPr>
          <w:trHeight w:val="400"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制度执行</w:t>
            </w:r>
            <w:r>
              <w:rPr>
                <w:rFonts w:hint="eastAsia" w:ascii="Times New Roman" w:hAnsi="Times New Roman" w:eastAsia="方正仿宋_GBK" w:cs="方正仿宋_GBK"/>
                <w:sz w:val="20"/>
                <w:szCs w:val="20"/>
                <w:lang w:eastAsia="zh-CN"/>
              </w:rPr>
              <w:t>有效性</w:t>
            </w:r>
            <w:r>
              <w:rPr>
                <w:rFonts w:hint="eastAsia" w:ascii="Times New Roman" w:hAnsi="Times New Roman" w:eastAsia="方正仿宋_GBK" w:cs="方正仿宋_GBK"/>
                <w:sz w:val="20"/>
                <w:szCs w:val="20"/>
              </w:rPr>
              <w:t>（3分）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①是否遵守相关法律法规和相关管理规定；②项目调整及支出调整手续是否完备；③项目合同书、验收报告、技术鉴定等资料是否齐全并及时归档；④项目实施的人员条件、场地设备、信息支撑等是否落实到位。</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喀什经济开发区城东金融贸易发展服务中心严格按照资金管理办法和项目实施方案推进项目资金审核，按照审核结果拨付资金，资金支付手续完备，资金使用合规。</w:t>
            </w:r>
            <w:r>
              <w:rPr>
                <w:rFonts w:hint="eastAsia" w:ascii="Times New Roman" w:hAnsi="Times New Roman"/>
                <w:sz w:val="20"/>
                <w:szCs w:val="20"/>
                <w:lang w:val="en-US" w:eastAsia="zh-CN"/>
              </w:rPr>
              <w:t>零星工程未审计，根据标准，该指标扣1分，得2分。</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1</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2</w:t>
            </w:r>
          </w:p>
        </w:tc>
      </w:tr>
      <w:tr>
        <w:tblPrEx>
          <w:tblCellMar>
            <w:top w:w="0" w:type="dxa"/>
            <w:left w:w="0" w:type="dxa"/>
            <w:bottom w:w="0" w:type="dxa"/>
            <w:right w:w="0" w:type="dxa"/>
          </w:tblCellMar>
        </w:tblPrEx>
        <w:trPr>
          <w:trHeight w:val="400" w:hRule="atLeast"/>
        </w:trPr>
        <w:tc>
          <w:tcPr>
            <w:tcW w:w="37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产出（40分）</w:t>
            </w: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产出数量（10分）</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实际完成率（10分）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完成率=（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支付尾款项目数量，预期目标是大于等于4个，实际完成4个，指标完成率100%。所设分值为4分，实际得分为4分。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绿化养护面积，预期目标是大于等于933000平方米，实际完成933000平方米，指标完成率100%。所设分值为3分，实际得分为3分。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道路清洁面积，预期目标是大于等于1095000平方米，实际完成1095000平方米，指标完成率100%。所设分值为3分，实际得分为3分。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根据查看“城东金融贸易区2021年绿化环卫公共服务一体化项目一标段、二标段、三标段”政府采购合同和“城东金融贸易区零星维修改造工程项目”政府采购合同，支付尾款项目实际完成4个。根据查看“2022年绿化环卫一体化服务项目”政府采购合同内容绿化养护面积93.3万㎡服务，该指标实际完成933000平方米。根据查看2022年绿化环卫一体化服务项目”政府采购合同内容对城东金融贸易区机动车道路清洁面积71.7万㎡，非机动车道及人行道清洁面积37.8万㎡，合计109.5万㎡，该指标实际完成1095000平方米。</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综上所述，该指标合计得10分。</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400"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产出质量（10分）</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质量达标率（10分）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质量达标率=（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项目验收合格率，预期目标是等于100%，实际完成100%，指标完成率100%。所设分值为10分，实际得分为10分。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根据查看“喀什经济开发区政府采购验收报告”内容验收意见为验收合格，该指标实际完成。</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综上所述，该指标得10分。</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1835"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产出时效（10分）</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完成及时性（10分）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实际完成时间：项目实施单位完成该项目实际所耗用的时间。计划完成时间：按照项目实施计划或相关规定完成该项目所需的时间。</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资金到位及时率，预期目标是等于100%，实际完成100%，指标完成率100%。所设分值为10分，实际得分为10分。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根据查看“国库集中支付明细表”，该项目资金到位及时，支付及时，实际完成100%。</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综上所述，该指标得10分。</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400"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3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产出成本（10分）</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成本节约率（10分）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成本节约率=[（计划成本-实际成本）/计划成本]×100%。实际成本：项目实施单位如期、保质、保量完成既定工作目标实际所耗费的支出。计划成本：项目实施单位为完成工作目标计划安排的支出，一般以项目预算为参考。</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零星维修改造工程尾款，预期目标是小于等于308.17万元，实际完成308.17万元，指标完成率100%。所设分值为2分，实际得分为2分。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2021年绿化环卫公共服务一体化项目三个标段尾款，预期目标是小于等于205.58万元，实际完成205.58万元，指标完成率100%。所设分值为2分，实际得分为2分。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大亚郎游步道周边种植草坪项目，预期目标是小于等于2.02万元，实际完成2.02万元，指标完成率100%。所设分值为2分，实际得分为2分。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2022年绿化养护、道路清洁，预期目标是小于等于243万元，实际完成243万元，指标完成率100%。所设分值为2分，实际得分为2分。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城东金融贸易区绿化管护，预期目标是小于等于165.03万元，实际完成165.03万元，指标完成率100%。所设分值为2分，实际得分为2分。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根据查看“国库集中支付明细表”，该项目资金到位及时，支付及时，实际完成100%。</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综上所述，该指标合计得10分。</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400" w:hRule="atLeast"/>
        </w:trPr>
        <w:tc>
          <w:tcPr>
            <w:tcW w:w="37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效益（20分）</w:t>
            </w:r>
          </w:p>
        </w:tc>
        <w:tc>
          <w:tcPr>
            <w:tcW w:w="39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项目效益（20分）</w:t>
            </w: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实施效益（10分）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项目实施所产生的社会效益、经济效益、生态效益、可持续影响等。可根据项目实际情况有选择地设置和细化。</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促进整个区域生活环境提升，预期目标是有效促进，实际完成有效促进，指标完成率100%。所设分值为5分，实际得分为5分。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受益年限，预期目标是大于等于2年，实际完成2年，指标完成率100%。所设分值为5分，实际得分为5分。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根据查看一张表平台项目满意度调查问卷结果，该项目有效促进了整个区域生活环境提升，2年受益年限，该指标完成。</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综上所述，实施效益指标合计得10分。</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400" w:hRule="atLeast"/>
        </w:trPr>
        <w:tc>
          <w:tcPr>
            <w:tcW w:w="37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393"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满意度（10分）</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社会公众或服务对象是指因该项目实施而受到影响的部门（单位）、群体或个人。一般采取社会调查的方式。</w:t>
            </w: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城东金融贸易区居民满意度，预期目标是大于等于95%，实际完成100%，指标完成率105%。所设分值为10分，实际得分为10分。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根据查看一张表平台项目满意度调查问卷结果，该项目满意度为100%，该指标完成。</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lang w:val="en-US" w:eastAsia="zh-CN"/>
              </w:rPr>
              <w:t>合计得10分。</w:t>
            </w: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0</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lang w:val="en-US" w:eastAsia="zh-CN"/>
              </w:rPr>
            </w:pPr>
            <w:r>
              <w:rPr>
                <w:rFonts w:hint="eastAsia" w:ascii="Times New Roman" w:hAnsi="Times New Roman" w:eastAsia="方正仿宋_GBK" w:cs="方正仿宋_GBK"/>
                <w:sz w:val="20"/>
                <w:szCs w:val="20"/>
                <w:lang w:val="en-US" w:eastAsia="zh-CN"/>
              </w:rPr>
              <w:t>10</w:t>
            </w:r>
          </w:p>
        </w:tc>
      </w:tr>
      <w:tr>
        <w:tblPrEx>
          <w:tblCellMar>
            <w:top w:w="0" w:type="dxa"/>
            <w:left w:w="0" w:type="dxa"/>
            <w:bottom w:w="0" w:type="dxa"/>
            <w:right w:w="0" w:type="dxa"/>
          </w:tblCellMar>
        </w:tblPrEx>
        <w:trPr>
          <w:trHeight w:val="400" w:hRule="atLeast"/>
        </w:trPr>
        <w:tc>
          <w:tcPr>
            <w:tcW w:w="11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r>
              <w:rPr>
                <w:rFonts w:hint="eastAsia" w:ascii="Times New Roman" w:hAnsi="Times New Roman" w:eastAsia="方正仿宋_GBK" w:cs="方正仿宋_GBK"/>
                <w:sz w:val="20"/>
                <w:szCs w:val="20"/>
              </w:rPr>
              <w:t>合计</w:t>
            </w:r>
          </w:p>
        </w:tc>
        <w:tc>
          <w:tcPr>
            <w:tcW w:w="17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14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Times New Roman" w:hAnsi="Times New Roman" w:eastAsia="方正仿宋_GBK" w:cs="方正仿宋_GBK"/>
                <w:sz w:val="20"/>
                <w:szCs w:val="20"/>
              </w:rPr>
            </w:pPr>
          </w:p>
        </w:tc>
        <w:tc>
          <w:tcPr>
            <w:tcW w:w="2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1</w:t>
            </w:r>
          </w:p>
        </w:tc>
        <w:tc>
          <w:tcPr>
            <w:tcW w:w="3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default" w:ascii="Times New Roman" w:hAnsi="Times New Roman" w:eastAsia="方正仿宋_GBK" w:cs="方正仿宋_GBK"/>
                <w:sz w:val="20"/>
                <w:szCs w:val="20"/>
                <w:lang w:val="en-US" w:eastAsia="zh-CN"/>
              </w:rPr>
            </w:pPr>
            <w:r>
              <w:rPr>
                <w:rFonts w:hint="eastAsia" w:ascii="Times New Roman" w:hAnsi="Times New Roman" w:cs="方正仿宋_GBK"/>
                <w:sz w:val="20"/>
                <w:szCs w:val="20"/>
                <w:lang w:val="en-US" w:eastAsia="zh-CN"/>
              </w:rPr>
              <w:t>99</w:t>
            </w:r>
          </w:p>
        </w:tc>
      </w:tr>
    </w:tbl>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jc w:val="right"/>
        <w:textAlignment w:val="auto"/>
        <w:rPr>
          <w:rFonts w:hint="default" w:ascii="Times New Roman" w:hAnsi="Times New Roman" w:eastAsia="方正仿宋_GBK" w:cs="方正仿宋_GBK"/>
          <w:b w:val="0"/>
          <w:bCs w:val="0"/>
          <w:color w:val="auto"/>
          <w:kern w:val="0"/>
          <w:sz w:val="32"/>
          <w:szCs w:val="32"/>
          <w:lang w:val="en-US" w:eastAsia="zh-CN" w:bidi="en-US"/>
        </w:rPr>
        <w:sectPr>
          <w:footerReference r:id="rId7" w:type="default"/>
          <w:pgSz w:w="16838" w:h="11906" w:orient="landscape"/>
          <w:pgMar w:top="1531" w:right="1984" w:bottom="1531" w:left="1701" w:header="851" w:footer="992" w:gutter="0"/>
          <w:pgNumType w:fmt="decimal"/>
          <w:cols w:space="0" w:num="1"/>
          <w:rtlGutter w:val="0"/>
          <w:docGrid w:type="lines" w:linePitch="438" w:charSpace="0"/>
        </w:sectPr>
      </w:pPr>
    </w:p>
    <w:p>
      <w:pPr>
        <w:ind w:left="0" w:leftChars="0" w:firstLine="0" w:firstLineChars="0"/>
        <w:jc w:val="center"/>
        <w:rPr>
          <w:rFonts w:hint="eastAsia" w:ascii="Times New Roman" w:hAnsi="Times New Roman" w:eastAsia="方正仿宋_GBK" w:cs="方正仿宋_GBK"/>
          <w:b/>
          <w:bCs/>
          <w:color w:val="auto"/>
          <w:kern w:val="0"/>
          <w:sz w:val="32"/>
          <w:szCs w:val="32"/>
          <w:lang w:val="en-US" w:eastAsia="zh-CN" w:bidi="en-US"/>
        </w:rPr>
      </w:pPr>
      <w:bookmarkStart w:id="212" w:name="_Toc7637_WPSOffice_Level1"/>
      <w:bookmarkStart w:id="213" w:name="_Toc30497_WPSOffice_Level1"/>
      <w:bookmarkStart w:id="214" w:name="_Toc28860_WPSOffice_Level1"/>
      <w:bookmarkStart w:id="215" w:name="_Toc27468_WPSOffice_Level1"/>
      <w:bookmarkStart w:id="216" w:name="_Toc6011_WPSOffice_Level1"/>
      <w:bookmarkStart w:id="217" w:name="_Toc18875_WPSOffice_Level1"/>
      <w:bookmarkStart w:id="218" w:name="_Toc1441_WPSOffice_Level1"/>
      <w:r>
        <w:rPr>
          <w:rFonts w:hint="eastAsia" w:ascii="Times New Roman" w:hAnsi="Times New Roman" w:eastAsia="方正仿宋_GBK" w:cs="方正仿宋_GBK"/>
          <w:b/>
          <w:bCs/>
          <w:color w:val="auto"/>
          <w:kern w:val="0"/>
          <w:sz w:val="32"/>
          <w:szCs w:val="32"/>
          <w:lang w:val="en-US" w:eastAsia="zh-CN" w:bidi="en-US"/>
        </w:rPr>
        <w:t>附件二：城东金融贸易区市政维修安装、绿化养护项目</w:t>
      </w:r>
      <w:bookmarkEnd w:id="212"/>
      <w:bookmarkEnd w:id="213"/>
      <w:bookmarkEnd w:id="214"/>
      <w:bookmarkEnd w:id="215"/>
      <w:bookmarkEnd w:id="216"/>
      <w:bookmarkEnd w:id="217"/>
      <w:bookmarkEnd w:id="218"/>
    </w:p>
    <w:p>
      <w:pPr>
        <w:spacing w:line="560" w:lineRule="exact"/>
        <w:ind w:firstLine="643" w:firstLineChars="200"/>
        <w:jc w:val="center"/>
        <w:rPr>
          <w:rFonts w:hint="eastAsia" w:ascii="Times New Roman" w:hAnsi="Times New Roman" w:cs="方正仿宋_GBK"/>
          <w:b/>
          <w:bCs/>
          <w:color w:val="auto"/>
          <w:kern w:val="0"/>
          <w:sz w:val="32"/>
          <w:szCs w:val="32"/>
          <w:lang w:val="en-US" w:eastAsia="zh-CN" w:bidi="en-US"/>
        </w:rPr>
      </w:pPr>
      <w:bookmarkStart w:id="219" w:name="_Toc10059_WPSOffice_Level2"/>
      <w:bookmarkStart w:id="220" w:name="_Toc9042_WPSOffice_Level1"/>
      <w:bookmarkStart w:id="221" w:name="_Toc5701_WPSOffice_Level2"/>
      <w:bookmarkStart w:id="222" w:name="_Toc30409_WPSOffice_Level1"/>
      <w:bookmarkStart w:id="223" w:name="_Toc28728_WPSOffice_Level1"/>
      <w:bookmarkStart w:id="224" w:name="_Toc24615_WPSOffice_Level1"/>
      <w:bookmarkStart w:id="225" w:name="_Toc31050_WPSOffice_Level1"/>
      <w:bookmarkStart w:id="226" w:name="_Toc16200_WPSOffice_Level2"/>
      <w:bookmarkStart w:id="227" w:name="_Toc11876_WPSOffice_Level1"/>
      <w:bookmarkStart w:id="228" w:name="_Toc23951_WPSOffice_Level1"/>
      <w:bookmarkStart w:id="229" w:name="_Toc16975_WPSOffice_Level1"/>
      <w:r>
        <w:rPr>
          <w:rFonts w:hint="eastAsia" w:ascii="Times New Roman" w:hAnsi="Times New Roman" w:cs="方正仿宋_GBK"/>
          <w:b/>
          <w:bCs/>
          <w:color w:val="auto"/>
          <w:kern w:val="0"/>
          <w:sz w:val="32"/>
          <w:szCs w:val="32"/>
          <w:lang w:val="en-US" w:eastAsia="zh-CN" w:bidi="en-US"/>
        </w:rPr>
        <w:t>满意度调查问卷</w:t>
      </w:r>
      <w:bookmarkEnd w:id="219"/>
      <w:bookmarkEnd w:id="220"/>
      <w:bookmarkEnd w:id="221"/>
      <w:bookmarkEnd w:id="222"/>
      <w:bookmarkEnd w:id="223"/>
      <w:bookmarkEnd w:id="224"/>
      <w:bookmarkEnd w:id="225"/>
      <w:bookmarkEnd w:id="226"/>
      <w:bookmarkEnd w:id="227"/>
      <w:bookmarkEnd w:id="228"/>
      <w:bookmarkEnd w:id="229"/>
    </w:p>
    <w:p>
      <w:pPr>
        <w:spacing w:line="560" w:lineRule="exact"/>
        <w:ind w:left="0" w:leftChars="0" w:firstLine="0" w:firstLineChars="0"/>
        <w:rPr>
          <w:rFonts w:hint="eastAsia" w:ascii="Times New Roman" w:hAnsi="Times New Roman" w:eastAsia="黑体" w:cs="黑体"/>
          <w:color w:val="auto"/>
          <w:sz w:val="32"/>
          <w:szCs w:val="32"/>
        </w:rPr>
      </w:pPr>
      <w:bookmarkStart w:id="230" w:name="_Toc13217_WPSOffice_Level1"/>
    </w:p>
    <w:p>
      <w:pPr>
        <w:spacing w:line="560" w:lineRule="exact"/>
        <w:ind w:firstLine="640" w:firstLineChars="200"/>
        <w:rPr>
          <w:rFonts w:hint="eastAsia" w:ascii="Times New Roman" w:hAnsi="Times New Roman" w:eastAsia="黑体" w:cs="黑体"/>
          <w:color w:val="auto"/>
          <w:sz w:val="32"/>
          <w:szCs w:val="32"/>
          <w:lang w:val="en-US" w:eastAsia="zh-CN"/>
        </w:rPr>
      </w:pPr>
      <w:bookmarkStart w:id="231" w:name="_Toc27740_WPSOffice_Level1"/>
      <w:bookmarkStart w:id="232" w:name="_Toc25880_WPSOffice_Level1"/>
      <w:bookmarkStart w:id="233" w:name="_Toc26626_WPSOffice_Level1"/>
      <w:bookmarkStart w:id="234" w:name="_Toc16803_WPSOffice_Level1"/>
      <w:bookmarkStart w:id="235" w:name="_Toc16285_WPSOffice_Level1"/>
      <w:bookmarkStart w:id="236" w:name="_Toc26430_WPSOffice_Level1"/>
      <w:bookmarkStart w:id="237" w:name="_Toc18950_WPSOffice_Level1"/>
      <w:bookmarkStart w:id="238" w:name="_Toc20106_WPSOffice_Level1"/>
      <w:bookmarkStart w:id="239" w:name="_Toc23237_WPSOffice_Level1"/>
      <w:bookmarkStart w:id="240" w:name="_Toc11823_WPSOffice_Level1"/>
      <w:r>
        <w:rPr>
          <w:rFonts w:hint="eastAsia" w:ascii="Times New Roman" w:hAnsi="Times New Roman" w:eastAsia="黑体" w:cs="黑体"/>
          <w:color w:val="auto"/>
          <w:sz w:val="32"/>
          <w:szCs w:val="32"/>
        </w:rPr>
        <w:t>一、问卷调查群体</w:t>
      </w:r>
      <w:bookmarkEnd w:id="230"/>
      <w:bookmarkEnd w:id="231"/>
      <w:bookmarkEnd w:id="232"/>
      <w:bookmarkEnd w:id="233"/>
      <w:bookmarkEnd w:id="234"/>
      <w:bookmarkEnd w:id="235"/>
      <w:bookmarkEnd w:id="236"/>
      <w:bookmarkEnd w:id="237"/>
      <w:bookmarkEnd w:id="238"/>
      <w:bookmarkEnd w:id="239"/>
      <w:bookmarkEnd w:id="240"/>
    </w:p>
    <w:p>
      <w:pPr>
        <w:spacing w:line="560" w:lineRule="exact"/>
        <w:ind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本次满意度调查问卷调查对象</w:t>
      </w:r>
      <w:r>
        <w:rPr>
          <w:rFonts w:hint="eastAsia" w:ascii="Times New Roman" w:hAnsi="Times New Roman" w:eastAsia="方正仿宋_GBK" w:cs="方正仿宋_GBK"/>
          <w:color w:val="auto"/>
          <w:sz w:val="32"/>
          <w:szCs w:val="32"/>
          <w:lang w:eastAsia="zh-CN"/>
        </w:rPr>
        <w:t>是</w:t>
      </w:r>
      <w:r>
        <w:rPr>
          <w:rFonts w:hint="eastAsia" w:ascii="Times New Roman" w:hAnsi="Times New Roman" w:eastAsia="方正仿宋_GBK" w:cs="方正仿宋_GBK"/>
          <w:color w:val="auto"/>
          <w:sz w:val="32"/>
          <w:szCs w:val="32"/>
        </w:rPr>
        <w:t>城东金融贸易区居民</w:t>
      </w:r>
      <w:r>
        <w:rPr>
          <w:rFonts w:hint="eastAsia" w:ascii="Times New Roman" w:hAnsi="Times New Roman" w:eastAsia="方正仿宋_GBK" w:cs="方正仿宋_GBK"/>
          <w:color w:val="auto"/>
          <w:sz w:val="32"/>
          <w:szCs w:val="32"/>
          <w:lang w:eastAsia="zh-CN"/>
        </w:rPr>
        <w:t>。</w:t>
      </w:r>
    </w:p>
    <w:p>
      <w:pPr>
        <w:spacing w:line="560" w:lineRule="exact"/>
        <w:ind w:firstLine="640" w:firstLineChars="200"/>
        <w:rPr>
          <w:rFonts w:hint="eastAsia" w:ascii="Times New Roman" w:hAnsi="Times New Roman" w:eastAsia="黑体" w:cs="黑体"/>
          <w:color w:val="auto"/>
          <w:sz w:val="32"/>
          <w:szCs w:val="32"/>
        </w:rPr>
      </w:pPr>
      <w:bookmarkStart w:id="241" w:name="_Toc14525_WPSOffice_Level1"/>
      <w:bookmarkStart w:id="242" w:name="_Toc14518_WPSOffice_Level1"/>
      <w:bookmarkStart w:id="243" w:name="_Toc26251_WPSOffice_Level1"/>
      <w:bookmarkStart w:id="244" w:name="_Toc20235_WPSOffice_Level1"/>
      <w:bookmarkStart w:id="245" w:name="_Toc13333_WPSOffice_Level1"/>
      <w:bookmarkStart w:id="246" w:name="_Toc10071_WPSOffice_Level1"/>
      <w:bookmarkStart w:id="247" w:name="_Toc4791_WPSOffice_Level1"/>
      <w:bookmarkStart w:id="248" w:name="_Toc15997_WPSOffice_Level1"/>
      <w:bookmarkStart w:id="249" w:name="_Toc24484_WPSOffice_Level1"/>
      <w:bookmarkStart w:id="250" w:name="_Toc1557_WPSOffice_Level1"/>
      <w:bookmarkStart w:id="251" w:name="_Toc8646_WPSOffice_Level1"/>
      <w:r>
        <w:rPr>
          <w:rFonts w:hint="eastAsia" w:ascii="Times New Roman" w:hAnsi="Times New Roman" w:eastAsia="黑体" w:cs="黑体"/>
          <w:color w:val="auto"/>
          <w:sz w:val="32"/>
          <w:szCs w:val="32"/>
        </w:rPr>
        <w:t>二、问卷调查方式</w:t>
      </w:r>
      <w:bookmarkEnd w:id="241"/>
      <w:bookmarkEnd w:id="242"/>
      <w:bookmarkEnd w:id="243"/>
      <w:bookmarkEnd w:id="244"/>
      <w:bookmarkEnd w:id="245"/>
      <w:bookmarkEnd w:id="246"/>
      <w:bookmarkEnd w:id="247"/>
      <w:bookmarkEnd w:id="248"/>
      <w:bookmarkEnd w:id="249"/>
      <w:bookmarkEnd w:id="250"/>
      <w:bookmarkEnd w:id="251"/>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本次采用抽样调查方式，</w:t>
      </w:r>
      <w:r>
        <w:rPr>
          <w:rFonts w:hint="eastAsia" w:ascii="Times New Roman" w:hAnsi="Times New Roman" w:eastAsia="方正仿宋_GBK" w:cs="方正仿宋_GBK"/>
          <w:color w:val="auto"/>
          <w:sz w:val="32"/>
          <w:szCs w:val="32"/>
          <w:lang w:eastAsia="zh-CN"/>
        </w:rPr>
        <w:t>对</w:t>
      </w:r>
      <w:r>
        <w:rPr>
          <w:rFonts w:hint="eastAsia" w:ascii="Times New Roman" w:hAnsi="Times New Roman" w:eastAsia="方正仿宋_GBK" w:cs="方正仿宋_GBK"/>
          <w:color w:val="auto"/>
          <w:sz w:val="32"/>
          <w:szCs w:val="32"/>
        </w:rPr>
        <w:t>城东金融贸易区居民</w:t>
      </w:r>
      <w:r>
        <w:rPr>
          <w:rFonts w:hint="eastAsia" w:ascii="Times New Roman" w:hAnsi="Times New Roman" w:eastAsia="方正仿宋_GBK" w:cs="方正仿宋_GBK"/>
          <w:color w:val="auto"/>
          <w:sz w:val="32"/>
          <w:szCs w:val="32"/>
          <w:lang w:eastAsia="zh-CN"/>
        </w:rPr>
        <w:t>进行抽样调查，在项目单位协助下，共发放</w:t>
      </w:r>
      <w:r>
        <w:rPr>
          <w:rFonts w:hint="eastAsia" w:ascii="Times New Roman" w:hAnsi="Times New Roman" w:eastAsia="方正仿宋_GBK" w:cs="方正仿宋_GBK"/>
          <w:color w:val="auto"/>
          <w:sz w:val="32"/>
          <w:szCs w:val="32"/>
          <w:lang w:val="en-US" w:eastAsia="zh-CN"/>
        </w:rPr>
        <w:t>20</w:t>
      </w:r>
      <w:r>
        <w:rPr>
          <w:rFonts w:hint="eastAsia" w:ascii="Times New Roman" w:hAnsi="Times New Roman" w:eastAsia="方正仿宋_GBK" w:cs="方正仿宋_GBK"/>
          <w:color w:val="auto"/>
          <w:sz w:val="32"/>
          <w:szCs w:val="32"/>
          <w:highlight w:val="none"/>
          <w:lang w:eastAsia="zh-CN"/>
        </w:rPr>
        <w:t>份</w:t>
      </w:r>
      <w:r>
        <w:rPr>
          <w:rFonts w:hint="eastAsia" w:ascii="Times New Roman" w:hAnsi="Times New Roman" w:eastAsia="方正仿宋_GBK" w:cs="方正仿宋_GBK"/>
          <w:color w:val="auto"/>
          <w:sz w:val="32"/>
          <w:szCs w:val="32"/>
          <w:lang w:eastAsia="zh-CN"/>
        </w:rPr>
        <w:t>调查问卷。</w:t>
      </w:r>
    </w:p>
    <w:p>
      <w:pPr>
        <w:spacing w:line="560" w:lineRule="exact"/>
        <w:ind w:firstLine="640" w:firstLineChars="200"/>
        <w:rPr>
          <w:rFonts w:hint="eastAsia" w:ascii="Times New Roman" w:hAnsi="Times New Roman" w:eastAsia="黑体" w:cs="黑体"/>
          <w:color w:val="auto"/>
          <w:sz w:val="32"/>
          <w:szCs w:val="32"/>
        </w:rPr>
      </w:pPr>
      <w:bookmarkStart w:id="252" w:name="_Toc15200_WPSOffice_Level1"/>
      <w:bookmarkStart w:id="253" w:name="_Toc24287_WPSOffice_Level1"/>
      <w:bookmarkStart w:id="254" w:name="_Toc3240_WPSOffice_Level1"/>
      <w:bookmarkStart w:id="255" w:name="_Toc17063_WPSOffice_Level1"/>
      <w:bookmarkStart w:id="256" w:name="_Toc1747_WPSOffice_Level1"/>
      <w:bookmarkStart w:id="257" w:name="_Toc24487_WPSOffice_Level1"/>
      <w:bookmarkStart w:id="258" w:name="_Toc13423_WPSOffice_Level1"/>
      <w:bookmarkStart w:id="259" w:name="_Toc6550_WPSOffice_Level1"/>
      <w:bookmarkStart w:id="260" w:name="_Toc388_WPSOffice_Level1"/>
      <w:bookmarkStart w:id="261" w:name="_Toc7320_WPSOffice_Level1"/>
      <w:bookmarkStart w:id="262" w:name="_Toc18690_WPSOffice_Level1"/>
      <w:r>
        <w:rPr>
          <w:rFonts w:hint="eastAsia" w:ascii="Times New Roman" w:hAnsi="Times New Roman" w:eastAsia="黑体" w:cs="黑体"/>
          <w:color w:val="auto"/>
          <w:sz w:val="32"/>
          <w:szCs w:val="32"/>
        </w:rPr>
        <w:t>三、计算方式</w:t>
      </w:r>
      <w:bookmarkEnd w:id="252"/>
      <w:bookmarkEnd w:id="253"/>
      <w:bookmarkEnd w:id="254"/>
      <w:bookmarkEnd w:id="255"/>
      <w:bookmarkEnd w:id="256"/>
      <w:bookmarkEnd w:id="257"/>
      <w:bookmarkEnd w:id="258"/>
      <w:bookmarkEnd w:id="259"/>
      <w:bookmarkEnd w:id="260"/>
      <w:bookmarkEnd w:id="261"/>
      <w:bookmarkEnd w:id="262"/>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满意度=调查结果为“是”统计数/回收问卷数*100%</w:t>
      </w:r>
    </w:p>
    <w:p>
      <w:pPr>
        <w:spacing w:line="560" w:lineRule="exact"/>
        <w:ind w:firstLine="640" w:firstLineChars="200"/>
        <w:rPr>
          <w:rFonts w:hint="eastAsia" w:ascii="Times New Roman" w:hAnsi="Times New Roman" w:eastAsia="黑体" w:cs="黑体"/>
          <w:color w:val="auto"/>
          <w:sz w:val="32"/>
          <w:szCs w:val="32"/>
        </w:rPr>
      </w:pPr>
      <w:bookmarkStart w:id="263" w:name="_Toc3495_WPSOffice_Level1"/>
      <w:bookmarkStart w:id="264" w:name="_Toc15813_WPSOffice_Level1"/>
      <w:bookmarkStart w:id="265" w:name="_Toc8795_WPSOffice_Level1"/>
      <w:bookmarkStart w:id="266" w:name="_Toc873_WPSOffice_Level1"/>
      <w:bookmarkStart w:id="267" w:name="_Toc28569_WPSOffice_Level1"/>
      <w:bookmarkStart w:id="268" w:name="_Toc12424_WPSOffice_Level1"/>
      <w:bookmarkStart w:id="269" w:name="_Toc3411_WPSOffice_Level1"/>
      <w:bookmarkStart w:id="270" w:name="_Toc21249_WPSOffice_Level1"/>
      <w:bookmarkStart w:id="271" w:name="_Toc29092_WPSOffice_Level1"/>
      <w:bookmarkStart w:id="272" w:name="_Toc8048_WPSOffice_Level1"/>
      <w:bookmarkStart w:id="273" w:name="_Toc18216_WPSOffice_Level1"/>
      <w:r>
        <w:rPr>
          <w:rFonts w:hint="eastAsia" w:ascii="Times New Roman" w:hAnsi="Times New Roman" w:eastAsia="黑体" w:cs="黑体"/>
          <w:color w:val="auto"/>
          <w:sz w:val="32"/>
          <w:szCs w:val="32"/>
        </w:rPr>
        <w:t>四、满意度调查结果分析</w:t>
      </w:r>
      <w:bookmarkEnd w:id="263"/>
      <w:bookmarkEnd w:id="264"/>
      <w:bookmarkEnd w:id="265"/>
      <w:bookmarkEnd w:id="266"/>
      <w:bookmarkEnd w:id="267"/>
      <w:bookmarkEnd w:id="268"/>
      <w:bookmarkEnd w:id="269"/>
      <w:bookmarkEnd w:id="270"/>
      <w:bookmarkEnd w:id="271"/>
      <w:bookmarkEnd w:id="272"/>
      <w:bookmarkEnd w:id="273"/>
    </w:p>
    <w:p>
      <w:pPr>
        <w:spacing w:line="560" w:lineRule="exact"/>
        <w:ind w:firstLine="640" w:firstLineChars="200"/>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为客观评价城东金融贸易区市政维修安装、绿化养护项目城东金融贸易区居民满意度情况，本次抽样发放满意度调查问卷</w:t>
      </w:r>
      <w:r>
        <w:rPr>
          <w:rFonts w:hint="eastAsia" w:ascii="Times New Roman" w:hAnsi="Times New Roman" w:eastAsia="方正仿宋_GBK" w:cs="方正仿宋_GBK"/>
          <w:color w:val="auto"/>
          <w:sz w:val="32"/>
          <w:szCs w:val="32"/>
          <w:lang w:val="en-US" w:eastAsia="zh-CN"/>
        </w:rPr>
        <w:t>20</w:t>
      </w:r>
      <w:r>
        <w:rPr>
          <w:rFonts w:hint="eastAsia" w:ascii="Times New Roman" w:hAnsi="Times New Roman" w:eastAsia="方正仿宋_GBK" w:cs="方正仿宋_GBK"/>
          <w:color w:val="auto"/>
          <w:sz w:val="32"/>
          <w:szCs w:val="32"/>
        </w:rPr>
        <w:t>份，回收</w:t>
      </w:r>
      <w:r>
        <w:rPr>
          <w:rFonts w:hint="eastAsia" w:ascii="Times New Roman" w:hAnsi="Times New Roman" w:eastAsia="方正仿宋_GBK" w:cs="方正仿宋_GBK"/>
          <w:color w:val="auto"/>
          <w:sz w:val="32"/>
          <w:szCs w:val="32"/>
          <w:lang w:val="en-US" w:eastAsia="zh-CN"/>
        </w:rPr>
        <w:t>20</w:t>
      </w:r>
      <w:r>
        <w:rPr>
          <w:rFonts w:hint="eastAsia" w:ascii="Times New Roman" w:hAnsi="Times New Roman" w:eastAsia="方正仿宋_GBK" w:cs="方正仿宋_GBK"/>
          <w:color w:val="auto"/>
          <w:sz w:val="32"/>
          <w:szCs w:val="32"/>
        </w:rPr>
        <w:t>份，具体调查情况如下：</w:t>
      </w:r>
    </w:p>
    <w:tbl>
      <w:tblPr>
        <w:tblStyle w:val="41"/>
        <w:tblW w:w="8522" w:type="dxa"/>
        <w:tblInd w:w="0" w:type="dxa"/>
        <w:tblLayout w:type="fixed"/>
        <w:tblCellMar>
          <w:top w:w="0" w:type="dxa"/>
          <w:left w:w="108" w:type="dxa"/>
          <w:bottom w:w="0" w:type="dxa"/>
          <w:right w:w="108" w:type="dxa"/>
        </w:tblCellMar>
      </w:tblPr>
      <w:tblGrid>
        <w:gridCol w:w="580"/>
        <w:gridCol w:w="3492"/>
        <w:gridCol w:w="780"/>
        <w:gridCol w:w="1191"/>
        <w:gridCol w:w="1192"/>
        <w:gridCol w:w="1287"/>
      </w:tblGrid>
      <w:tr>
        <w:tblPrEx>
          <w:tblCellMar>
            <w:top w:w="0" w:type="dxa"/>
            <w:left w:w="108" w:type="dxa"/>
            <w:bottom w:w="0" w:type="dxa"/>
            <w:right w:w="108" w:type="dxa"/>
          </w:tblCellMar>
        </w:tblPrEx>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both"/>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序号</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问题</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回收数</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结果为“是”统计数</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结果为“否”统计数</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结果为“是”占比</w:t>
            </w:r>
          </w:p>
        </w:tc>
      </w:tr>
      <w:tr>
        <w:tblPrEx>
          <w:tblCellMar>
            <w:top w:w="0" w:type="dxa"/>
            <w:left w:w="108" w:type="dxa"/>
            <w:bottom w:w="0" w:type="dxa"/>
            <w:right w:w="108" w:type="dxa"/>
          </w:tblCellMar>
        </w:tblPrEx>
        <w:trPr>
          <w:trHeight w:val="441"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5"/>
                <w:szCs w:val="15"/>
                <w:lang w:eastAsia="zh-CN"/>
              </w:rPr>
            </w:pPr>
            <w:r>
              <w:rPr>
                <w:rFonts w:hint="eastAsia" w:ascii="Times New Roman" w:hAnsi="Times New Roman" w:eastAsia="方正仿宋_GBK" w:cs="方正仿宋_GBK"/>
                <w:color w:val="auto"/>
                <w:sz w:val="15"/>
                <w:szCs w:val="15"/>
                <w:lang w:eastAsia="zh-CN"/>
              </w:rPr>
              <w:t>是否能够促进整个区域生活环境提升？</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20</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20</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lang w:val="en-US" w:eastAsia="zh-CN"/>
              </w:rPr>
              <w:t>100</w:t>
            </w:r>
            <w:r>
              <w:rPr>
                <w:rFonts w:hint="eastAsia" w:ascii="Times New Roman" w:hAnsi="Times New Roman" w:eastAsia="方正仿宋_GBK" w:cs="方正仿宋_GBK"/>
                <w:color w:val="auto"/>
                <w:sz w:val="18"/>
                <w:szCs w:val="18"/>
              </w:rPr>
              <w:t>%</w:t>
            </w:r>
          </w:p>
        </w:tc>
      </w:tr>
      <w:tr>
        <w:tblPrEx>
          <w:tblCellMar>
            <w:top w:w="0" w:type="dxa"/>
            <w:left w:w="108" w:type="dxa"/>
            <w:bottom w:w="0" w:type="dxa"/>
            <w:right w:w="108" w:type="dxa"/>
          </w:tblCellMar>
        </w:tblPrEx>
        <w:trPr>
          <w:trHeight w:val="47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2</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5"/>
                <w:szCs w:val="15"/>
                <w:lang w:eastAsia="zh-CN"/>
              </w:rPr>
            </w:pPr>
            <w:r>
              <w:rPr>
                <w:rFonts w:hint="eastAsia" w:ascii="Times New Roman" w:hAnsi="Times New Roman" w:eastAsia="方正仿宋_GBK" w:cs="方正仿宋_GBK"/>
                <w:color w:val="auto"/>
                <w:sz w:val="15"/>
                <w:szCs w:val="15"/>
                <w:lang w:eastAsia="zh-CN"/>
              </w:rPr>
              <w:t>城东金融贸易区居民是否满意？</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20</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20</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lang w:val="en-US" w:eastAsia="zh-CN"/>
              </w:rPr>
              <w:t>0</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3</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5"/>
                <w:szCs w:val="15"/>
                <w:lang w:val="en-US" w:eastAsia="zh-CN"/>
              </w:rPr>
            </w:pPr>
            <w:r>
              <w:rPr>
                <w:rFonts w:hint="eastAsia" w:ascii="Times New Roman" w:hAnsi="Times New Roman" w:cs="方正仿宋_GBK"/>
                <w:color w:val="auto"/>
                <w:sz w:val="15"/>
                <w:szCs w:val="15"/>
                <w:lang w:eastAsia="zh-CN"/>
              </w:rPr>
              <w:t>受益年限是否大于</w:t>
            </w:r>
            <w:r>
              <w:rPr>
                <w:rFonts w:hint="eastAsia" w:ascii="Times New Roman" w:hAnsi="Times New Roman" w:cs="方正仿宋_GBK"/>
                <w:color w:val="auto"/>
                <w:sz w:val="15"/>
                <w:szCs w:val="15"/>
                <w:lang w:val="en-US" w:eastAsia="zh-CN"/>
              </w:rPr>
              <w:t>2年？</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20</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20</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0</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4</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宋体" w:cs="方正仿宋_GBK"/>
                <w:color w:val="auto"/>
                <w:sz w:val="15"/>
                <w:szCs w:val="15"/>
                <w:lang w:eastAsia="zh-CN"/>
              </w:rPr>
            </w:pPr>
            <w:r>
              <w:rPr>
                <w:rFonts w:hint="eastAsia" w:ascii="Times New Roman" w:hAnsi="Times New Roman" w:cs="方正仿宋_GBK"/>
                <w:color w:val="auto"/>
                <w:sz w:val="15"/>
                <w:szCs w:val="15"/>
                <w:lang w:eastAsia="zh-CN"/>
              </w:rPr>
              <w:t>是否能够为居民提供良好的生态生活环境？</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20</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20</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0</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5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5</w:t>
            </w:r>
          </w:p>
        </w:tc>
        <w:tc>
          <w:tcPr>
            <w:tcW w:w="34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宋体" w:cs="方正仿宋_GBK"/>
                <w:color w:val="auto"/>
                <w:sz w:val="15"/>
                <w:szCs w:val="15"/>
                <w:lang w:eastAsia="zh-CN"/>
              </w:rPr>
            </w:pPr>
            <w:r>
              <w:rPr>
                <w:rFonts w:hint="eastAsia" w:ascii="Times New Roman" w:hAnsi="Times New Roman" w:cs="方正仿宋_GBK"/>
                <w:color w:val="auto"/>
                <w:sz w:val="15"/>
                <w:szCs w:val="15"/>
                <w:lang w:eastAsia="zh-CN"/>
              </w:rPr>
              <w:t>您对此项目是否了解？</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20</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20</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方正仿宋_GBK" w:cs="方正仿宋_GBK"/>
                <w:color w:val="auto"/>
                <w:sz w:val="18"/>
                <w:szCs w:val="18"/>
                <w:lang w:val="en-US" w:eastAsia="zh-CN"/>
              </w:rPr>
            </w:pPr>
            <w:r>
              <w:rPr>
                <w:rFonts w:hint="eastAsia" w:ascii="Times New Roman" w:hAnsi="Times New Roman" w:cs="方正仿宋_GBK"/>
                <w:color w:val="auto"/>
                <w:sz w:val="18"/>
                <w:szCs w:val="18"/>
                <w:lang w:val="en-US" w:eastAsia="zh-CN"/>
              </w:rPr>
              <w:t>0</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Times New Roman" w:hAnsi="Times New Roman" w:eastAsia="方正仿宋_GBK" w:cs="方正仿宋_GBK"/>
                <w:color w:val="auto"/>
                <w:sz w:val="18"/>
                <w:szCs w:val="18"/>
              </w:rPr>
            </w:pPr>
            <w:r>
              <w:rPr>
                <w:rFonts w:hint="eastAsia" w:ascii="Times New Roman" w:hAnsi="Times New Roman" w:eastAsia="方正仿宋_GBK" w:cs="方正仿宋_GBK"/>
                <w:color w:val="auto"/>
                <w:sz w:val="18"/>
                <w:szCs w:val="18"/>
              </w:rPr>
              <w:t>100%</w:t>
            </w:r>
          </w:p>
        </w:tc>
      </w:tr>
    </w:tbl>
    <w:p>
      <w:pPr>
        <w:spacing w:line="560" w:lineRule="exact"/>
        <w:ind w:left="0" w:leftChars="0" w:firstLine="0" w:firstLineChars="0"/>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rPr>
        <w:t>根据上述结果显示，本次满意度调查结果是</w:t>
      </w:r>
      <w:r>
        <w:rPr>
          <w:rFonts w:hint="eastAsia" w:ascii="Times New Roman" w:hAnsi="Times New Roman" w:eastAsia="方正仿宋_GBK" w:cs="方正仿宋_GBK"/>
          <w:color w:val="auto"/>
          <w:sz w:val="32"/>
          <w:szCs w:val="32"/>
          <w:lang w:val="en-US" w:eastAsia="zh-CN"/>
        </w:rPr>
        <w:t>100</w:t>
      </w:r>
      <w:r>
        <w:rPr>
          <w:rFonts w:hint="eastAsia" w:ascii="Times New Roman" w:hAnsi="Times New Roman" w:eastAsia="方正仿宋_GBK" w:cs="方正仿宋_GBK"/>
          <w:color w:val="auto"/>
          <w:sz w:val="32"/>
          <w:szCs w:val="32"/>
        </w:rPr>
        <w:t>%。</w:t>
      </w:r>
    </w:p>
    <w:sectPr>
      <w:footerReference r:id="rId8" w:type="default"/>
      <w:pgSz w:w="11906" w:h="16838"/>
      <w:pgMar w:top="1984" w:right="1531" w:bottom="1701" w:left="1531" w:header="851" w:footer="992" w:gutter="0"/>
      <w:pgNumType w:fmt="decimal"/>
      <w:cols w:space="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- 27 -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F0AAD"/>
    <w:multiLevelType w:val="singleLevel"/>
    <w:tmpl w:val="A9FF0AAD"/>
    <w:lvl w:ilvl="0" w:tentative="0">
      <w:start w:val="1"/>
      <w:numFmt w:val="chineseCounting"/>
      <w:suff w:val="nothing"/>
      <w:lvlText w:val="（%1）"/>
      <w:lvlJc w:val="left"/>
      <w:rPr>
        <w:rFonts w:hint="eastAsia"/>
      </w:rPr>
    </w:lvl>
  </w:abstractNum>
  <w:abstractNum w:abstractNumId="1">
    <w:nsid w:val="B1278697"/>
    <w:multiLevelType w:val="singleLevel"/>
    <w:tmpl w:val="B1278697"/>
    <w:lvl w:ilvl="0" w:tentative="0">
      <w:start w:val="1"/>
      <w:numFmt w:val="decimal"/>
      <w:lvlText w:val="%1."/>
      <w:lvlJc w:val="left"/>
      <w:pPr>
        <w:tabs>
          <w:tab w:val="left" w:pos="312"/>
        </w:tabs>
      </w:pPr>
    </w:lvl>
  </w:abstractNum>
  <w:abstractNum w:abstractNumId="2">
    <w:nsid w:val="C4ABFEF9"/>
    <w:multiLevelType w:val="singleLevel"/>
    <w:tmpl w:val="C4ABFEF9"/>
    <w:lvl w:ilvl="0" w:tentative="0">
      <w:start w:val="7"/>
      <w:numFmt w:val="chineseCounting"/>
      <w:suff w:val="nothing"/>
      <w:lvlText w:val="%1、"/>
      <w:lvlJc w:val="left"/>
      <w:rPr>
        <w:rFonts w:hint="eastAsia"/>
      </w:rPr>
    </w:lvl>
  </w:abstractNum>
  <w:abstractNum w:abstractNumId="3">
    <w:nsid w:val="652E9AFA"/>
    <w:multiLevelType w:val="singleLevel"/>
    <w:tmpl w:val="652E9AFA"/>
    <w:lvl w:ilvl="0" w:tentative="0">
      <w:start w:val="3"/>
      <w:numFmt w:val="decimal"/>
      <w:lvlText w:val="%1."/>
      <w:lvlJc w:val="left"/>
      <w:pPr>
        <w:tabs>
          <w:tab w:val="left" w:pos="312"/>
        </w:tabs>
      </w:pPr>
    </w:lvl>
  </w:abstractNum>
  <w:abstractNum w:abstractNumId="4">
    <w:nsid w:val="7CDD0DAD"/>
    <w:multiLevelType w:val="multilevel"/>
    <w:tmpl w:val="7CDD0DAD"/>
    <w:lvl w:ilvl="0" w:tentative="0">
      <w:start w:val="1"/>
      <w:numFmt w:val="decimal"/>
      <w:suff w:val="nothing"/>
      <w:lvlText w:val=""/>
      <w:lvlJc w:val="left"/>
      <w:pPr>
        <w:ind w:left="0" w:firstLine="0"/>
      </w:pPr>
    </w:lvl>
    <w:lvl w:ilvl="1" w:tentative="0">
      <w:start w:val="1"/>
      <w:numFmt w:val="chineseCountingThousand"/>
      <w:suff w:val="nothing"/>
      <w:lvlText w:val="%2、"/>
      <w:lvlJc w:val="left"/>
      <w:pPr>
        <w:ind w:left="0" w:firstLine="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decimal"/>
      <w:suff w:val="nothing"/>
      <w:lvlText w:val="（%5）"/>
      <w:lvlJc w:val="left"/>
      <w:pPr>
        <w:ind w:left="0" w:firstLine="0"/>
      </w:pPr>
    </w:lvl>
    <w:lvl w:ilvl="5" w:tentative="0">
      <w:start w:val="1"/>
      <w:numFmt w:val="decimal"/>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Tk5ZTg5YThlYmY4NWE4MTUxMzM1MjhiYTEyNWQifQ=="/>
  </w:docVars>
  <w:rsids>
    <w:rsidRoot w:val="2628021F"/>
    <w:rsid w:val="002235CA"/>
    <w:rsid w:val="0061174E"/>
    <w:rsid w:val="006609ED"/>
    <w:rsid w:val="00AA39C6"/>
    <w:rsid w:val="01304F09"/>
    <w:rsid w:val="017C6D0A"/>
    <w:rsid w:val="01E931C6"/>
    <w:rsid w:val="01F47232"/>
    <w:rsid w:val="020A4075"/>
    <w:rsid w:val="02184C98"/>
    <w:rsid w:val="03483E5B"/>
    <w:rsid w:val="03C51479"/>
    <w:rsid w:val="04102FDF"/>
    <w:rsid w:val="047A1C27"/>
    <w:rsid w:val="04A84B8D"/>
    <w:rsid w:val="04C030C7"/>
    <w:rsid w:val="04E05847"/>
    <w:rsid w:val="05614975"/>
    <w:rsid w:val="057F10D5"/>
    <w:rsid w:val="058B444B"/>
    <w:rsid w:val="05CC74A0"/>
    <w:rsid w:val="063C2FD6"/>
    <w:rsid w:val="064B4284"/>
    <w:rsid w:val="065B078B"/>
    <w:rsid w:val="065C61C6"/>
    <w:rsid w:val="0674352F"/>
    <w:rsid w:val="06840B3B"/>
    <w:rsid w:val="069A7EFB"/>
    <w:rsid w:val="06D71C2E"/>
    <w:rsid w:val="075F1724"/>
    <w:rsid w:val="07846CA5"/>
    <w:rsid w:val="07C663DC"/>
    <w:rsid w:val="08054732"/>
    <w:rsid w:val="081B254A"/>
    <w:rsid w:val="08320C65"/>
    <w:rsid w:val="08437B95"/>
    <w:rsid w:val="0851739C"/>
    <w:rsid w:val="086754D0"/>
    <w:rsid w:val="08A3592E"/>
    <w:rsid w:val="095E661C"/>
    <w:rsid w:val="0974296B"/>
    <w:rsid w:val="09807144"/>
    <w:rsid w:val="09A56507"/>
    <w:rsid w:val="0A1A0B9C"/>
    <w:rsid w:val="0A4514BF"/>
    <w:rsid w:val="0A6B72A1"/>
    <w:rsid w:val="0A7126CE"/>
    <w:rsid w:val="0A8E36E9"/>
    <w:rsid w:val="0AA35976"/>
    <w:rsid w:val="0AC54384"/>
    <w:rsid w:val="0AF06BDF"/>
    <w:rsid w:val="0B10482F"/>
    <w:rsid w:val="0B1C7437"/>
    <w:rsid w:val="0B5735A2"/>
    <w:rsid w:val="0B694BA0"/>
    <w:rsid w:val="0BCE57D5"/>
    <w:rsid w:val="0BEE0384"/>
    <w:rsid w:val="0C351B42"/>
    <w:rsid w:val="0CC638F0"/>
    <w:rsid w:val="0CE42314"/>
    <w:rsid w:val="0CEE7F6B"/>
    <w:rsid w:val="0D3606B5"/>
    <w:rsid w:val="0D477A27"/>
    <w:rsid w:val="0E0361C3"/>
    <w:rsid w:val="0E4E0B75"/>
    <w:rsid w:val="0E5341C8"/>
    <w:rsid w:val="0E550377"/>
    <w:rsid w:val="0EBB3568"/>
    <w:rsid w:val="0EC6416E"/>
    <w:rsid w:val="0EC739C8"/>
    <w:rsid w:val="0F2E3D3A"/>
    <w:rsid w:val="0F3954BB"/>
    <w:rsid w:val="0F846C37"/>
    <w:rsid w:val="0FA37703"/>
    <w:rsid w:val="0FCB22E3"/>
    <w:rsid w:val="0FDC23CB"/>
    <w:rsid w:val="0FDC5544"/>
    <w:rsid w:val="0FF80511"/>
    <w:rsid w:val="104B7F3D"/>
    <w:rsid w:val="10F76458"/>
    <w:rsid w:val="111156C1"/>
    <w:rsid w:val="112069C1"/>
    <w:rsid w:val="11382945"/>
    <w:rsid w:val="115A64B4"/>
    <w:rsid w:val="11FA767C"/>
    <w:rsid w:val="12046FD4"/>
    <w:rsid w:val="120D166A"/>
    <w:rsid w:val="125C353F"/>
    <w:rsid w:val="12B20B93"/>
    <w:rsid w:val="13086650"/>
    <w:rsid w:val="13270DD5"/>
    <w:rsid w:val="133346ED"/>
    <w:rsid w:val="133D6F47"/>
    <w:rsid w:val="134339A3"/>
    <w:rsid w:val="141E7CDD"/>
    <w:rsid w:val="14601D53"/>
    <w:rsid w:val="14DF4313"/>
    <w:rsid w:val="14FE459E"/>
    <w:rsid w:val="150C2C5E"/>
    <w:rsid w:val="155B197F"/>
    <w:rsid w:val="157C7356"/>
    <w:rsid w:val="159B1B63"/>
    <w:rsid w:val="15A65962"/>
    <w:rsid w:val="15BE4FB7"/>
    <w:rsid w:val="15E740EA"/>
    <w:rsid w:val="160E046E"/>
    <w:rsid w:val="16116EE5"/>
    <w:rsid w:val="161B0A6D"/>
    <w:rsid w:val="164A7C99"/>
    <w:rsid w:val="164D0444"/>
    <w:rsid w:val="165826DC"/>
    <w:rsid w:val="165A7415"/>
    <w:rsid w:val="16847640"/>
    <w:rsid w:val="16AC22DA"/>
    <w:rsid w:val="17013AC5"/>
    <w:rsid w:val="1707367D"/>
    <w:rsid w:val="171222C7"/>
    <w:rsid w:val="17C6635A"/>
    <w:rsid w:val="18DE2275"/>
    <w:rsid w:val="18E611E1"/>
    <w:rsid w:val="194C2D3F"/>
    <w:rsid w:val="199478E2"/>
    <w:rsid w:val="19C71BA4"/>
    <w:rsid w:val="19C73A3D"/>
    <w:rsid w:val="19CB70D4"/>
    <w:rsid w:val="19F00C32"/>
    <w:rsid w:val="1A02182F"/>
    <w:rsid w:val="1A5C1AD4"/>
    <w:rsid w:val="1A966293"/>
    <w:rsid w:val="1B0C4E83"/>
    <w:rsid w:val="1BB62827"/>
    <w:rsid w:val="1BD55AC2"/>
    <w:rsid w:val="1C5135AA"/>
    <w:rsid w:val="1C5A7489"/>
    <w:rsid w:val="1C99656B"/>
    <w:rsid w:val="1C9A6310"/>
    <w:rsid w:val="1CB63701"/>
    <w:rsid w:val="1CFC67B9"/>
    <w:rsid w:val="1D09444D"/>
    <w:rsid w:val="1D27086D"/>
    <w:rsid w:val="1D8428F3"/>
    <w:rsid w:val="1DA31B5E"/>
    <w:rsid w:val="1DDD5320"/>
    <w:rsid w:val="1E4F0E90"/>
    <w:rsid w:val="1E533711"/>
    <w:rsid w:val="1EB93020"/>
    <w:rsid w:val="1EFA6A81"/>
    <w:rsid w:val="20023C5E"/>
    <w:rsid w:val="20351648"/>
    <w:rsid w:val="203D6234"/>
    <w:rsid w:val="208E27DD"/>
    <w:rsid w:val="20AE2EE3"/>
    <w:rsid w:val="20C24B80"/>
    <w:rsid w:val="20FA07DA"/>
    <w:rsid w:val="21357AEA"/>
    <w:rsid w:val="2149569B"/>
    <w:rsid w:val="218A327B"/>
    <w:rsid w:val="219366B8"/>
    <w:rsid w:val="21AF0D0A"/>
    <w:rsid w:val="21EA3C98"/>
    <w:rsid w:val="21FC3B3D"/>
    <w:rsid w:val="229654CA"/>
    <w:rsid w:val="22E17041"/>
    <w:rsid w:val="230A5C57"/>
    <w:rsid w:val="23453447"/>
    <w:rsid w:val="234C6BE5"/>
    <w:rsid w:val="23D90E5E"/>
    <w:rsid w:val="23DA1943"/>
    <w:rsid w:val="240B3EE3"/>
    <w:rsid w:val="24264B88"/>
    <w:rsid w:val="242722B1"/>
    <w:rsid w:val="24276EE7"/>
    <w:rsid w:val="24794971"/>
    <w:rsid w:val="247A40DF"/>
    <w:rsid w:val="24D43819"/>
    <w:rsid w:val="250F1BAE"/>
    <w:rsid w:val="2604407A"/>
    <w:rsid w:val="26160A06"/>
    <w:rsid w:val="2628021F"/>
    <w:rsid w:val="26305539"/>
    <w:rsid w:val="263C56CF"/>
    <w:rsid w:val="268A2A64"/>
    <w:rsid w:val="26B45E74"/>
    <w:rsid w:val="26B904BE"/>
    <w:rsid w:val="26E11156"/>
    <w:rsid w:val="2768027B"/>
    <w:rsid w:val="27713082"/>
    <w:rsid w:val="27BB57C5"/>
    <w:rsid w:val="27C148A5"/>
    <w:rsid w:val="27ED7549"/>
    <w:rsid w:val="281B0CD1"/>
    <w:rsid w:val="28A11BB3"/>
    <w:rsid w:val="28B40891"/>
    <w:rsid w:val="291B0A33"/>
    <w:rsid w:val="296236AF"/>
    <w:rsid w:val="29643913"/>
    <w:rsid w:val="297B5854"/>
    <w:rsid w:val="29E777B5"/>
    <w:rsid w:val="2A00070B"/>
    <w:rsid w:val="2A255B08"/>
    <w:rsid w:val="2A2D6AB9"/>
    <w:rsid w:val="2B327B14"/>
    <w:rsid w:val="2B5320A6"/>
    <w:rsid w:val="2B9205A0"/>
    <w:rsid w:val="2BCC4267"/>
    <w:rsid w:val="2C4049A4"/>
    <w:rsid w:val="2C487C8B"/>
    <w:rsid w:val="2C8B4328"/>
    <w:rsid w:val="2C8D67A7"/>
    <w:rsid w:val="2C9D45DF"/>
    <w:rsid w:val="2CAB1BE4"/>
    <w:rsid w:val="2CCC5D7D"/>
    <w:rsid w:val="2CE34607"/>
    <w:rsid w:val="2D405D1C"/>
    <w:rsid w:val="2D597D7C"/>
    <w:rsid w:val="2D6253A4"/>
    <w:rsid w:val="2D6B38A0"/>
    <w:rsid w:val="2D932117"/>
    <w:rsid w:val="2E4059D2"/>
    <w:rsid w:val="2E893CCC"/>
    <w:rsid w:val="2E8A5CB8"/>
    <w:rsid w:val="2F9E3C0C"/>
    <w:rsid w:val="2FA13AD4"/>
    <w:rsid w:val="2FFF0293"/>
    <w:rsid w:val="301D44DF"/>
    <w:rsid w:val="30223E1E"/>
    <w:rsid w:val="304908A1"/>
    <w:rsid w:val="30653101"/>
    <w:rsid w:val="30A65308"/>
    <w:rsid w:val="30EC379B"/>
    <w:rsid w:val="31692558"/>
    <w:rsid w:val="31882FDD"/>
    <w:rsid w:val="3189336A"/>
    <w:rsid w:val="31C02A5D"/>
    <w:rsid w:val="31DC2CC0"/>
    <w:rsid w:val="327B3A37"/>
    <w:rsid w:val="32977492"/>
    <w:rsid w:val="332D5984"/>
    <w:rsid w:val="3355548A"/>
    <w:rsid w:val="33947D60"/>
    <w:rsid w:val="33F97BC3"/>
    <w:rsid w:val="34246663"/>
    <w:rsid w:val="34282836"/>
    <w:rsid w:val="34537F49"/>
    <w:rsid w:val="349F7E72"/>
    <w:rsid w:val="34AC6263"/>
    <w:rsid w:val="34CC10FE"/>
    <w:rsid w:val="34D5653D"/>
    <w:rsid w:val="34FC7B76"/>
    <w:rsid w:val="358B6243"/>
    <w:rsid w:val="35FE4E42"/>
    <w:rsid w:val="36334054"/>
    <w:rsid w:val="364370ED"/>
    <w:rsid w:val="367F26F8"/>
    <w:rsid w:val="36BA3792"/>
    <w:rsid w:val="36BF70D2"/>
    <w:rsid w:val="370421C1"/>
    <w:rsid w:val="371B5EB6"/>
    <w:rsid w:val="37444B4C"/>
    <w:rsid w:val="37BC458D"/>
    <w:rsid w:val="37BF0FAF"/>
    <w:rsid w:val="37D56B99"/>
    <w:rsid w:val="37FD1CF0"/>
    <w:rsid w:val="380F2387"/>
    <w:rsid w:val="38180203"/>
    <w:rsid w:val="384A4E91"/>
    <w:rsid w:val="38671AF4"/>
    <w:rsid w:val="386740D3"/>
    <w:rsid w:val="38A061A7"/>
    <w:rsid w:val="38AE4888"/>
    <w:rsid w:val="38AF1198"/>
    <w:rsid w:val="38F8007D"/>
    <w:rsid w:val="392576AC"/>
    <w:rsid w:val="398F26EB"/>
    <w:rsid w:val="39C17EE2"/>
    <w:rsid w:val="39CC4A42"/>
    <w:rsid w:val="39E12B86"/>
    <w:rsid w:val="39F4687B"/>
    <w:rsid w:val="3A126F41"/>
    <w:rsid w:val="3A464A7C"/>
    <w:rsid w:val="3A756C52"/>
    <w:rsid w:val="3A815BEE"/>
    <w:rsid w:val="3A816FB3"/>
    <w:rsid w:val="3AB8317A"/>
    <w:rsid w:val="3AF859C8"/>
    <w:rsid w:val="3B057DA7"/>
    <w:rsid w:val="3C1B4EB4"/>
    <w:rsid w:val="3C365500"/>
    <w:rsid w:val="3C7468DD"/>
    <w:rsid w:val="3C8377E9"/>
    <w:rsid w:val="3CDC4A97"/>
    <w:rsid w:val="3CFF1079"/>
    <w:rsid w:val="3D2D3C72"/>
    <w:rsid w:val="3D6E761B"/>
    <w:rsid w:val="3DAF1779"/>
    <w:rsid w:val="3DF46889"/>
    <w:rsid w:val="3DF75E51"/>
    <w:rsid w:val="3E464127"/>
    <w:rsid w:val="3E572BC5"/>
    <w:rsid w:val="3F08092A"/>
    <w:rsid w:val="3F8958B2"/>
    <w:rsid w:val="3F947336"/>
    <w:rsid w:val="40311165"/>
    <w:rsid w:val="40534AFF"/>
    <w:rsid w:val="406D237C"/>
    <w:rsid w:val="40945C09"/>
    <w:rsid w:val="40C477AB"/>
    <w:rsid w:val="40D004C6"/>
    <w:rsid w:val="40FB4CEF"/>
    <w:rsid w:val="41082299"/>
    <w:rsid w:val="41937FB2"/>
    <w:rsid w:val="41BC1732"/>
    <w:rsid w:val="425F0730"/>
    <w:rsid w:val="42A01575"/>
    <w:rsid w:val="42AB0C22"/>
    <w:rsid w:val="42BB226C"/>
    <w:rsid w:val="42DE2DA6"/>
    <w:rsid w:val="431D3A41"/>
    <w:rsid w:val="43205EF4"/>
    <w:rsid w:val="432B7882"/>
    <w:rsid w:val="43392637"/>
    <w:rsid w:val="43627942"/>
    <w:rsid w:val="43823D3A"/>
    <w:rsid w:val="438B37FC"/>
    <w:rsid w:val="43C527B0"/>
    <w:rsid w:val="445155AC"/>
    <w:rsid w:val="4454199A"/>
    <w:rsid w:val="447C2876"/>
    <w:rsid w:val="44823CAD"/>
    <w:rsid w:val="44BD681E"/>
    <w:rsid w:val="451A110B"/>
    <w:rsid w:val="45582D13"/>
    <w:rsid w:val="45721C19"/>
    <w:rsid w:val="461A688B"/>
    <w:rsid w:val="465C7DDA"/>
    <w:rsid w:val="467F22B3"/>
    <w:rsid w:val="469907EB"/>
    <w:rsid w:val="46B054C0"/>
    <w:rsid w:val="46F752F0"/>
    <w:rsid w:val="471F7FAA"/>
    <w:rsid w:val="4745391A"/>
    <w:rsid w:val="4746716B"/>
    <w:rsid w:val="47BB33BC"/>
    <w:rsid w:val="48457423"/>
    <w:rsid w:val="488D37A3"/>
    <w:rsid w:val="48B62722"/>
    <w:rsid w:val="48EE4F9E"/>
    <w:rsid w:val="48FD0612"/>
    <w:rsid w:val="49217800"/>
    <w:rsid w:val="4969057F"/>
    <w:rsid w:val="4975559A"/>
    <w:rsid w:val="498875C7"/>
    <w:rsid w:val="4992426C"/>
    <w:rsid w:val="49C52E26"/>
    <w:rsid w:val="49D81B5C"/>
    <w:rsid w:val="4A2D3C63"/>
    <w:rsid w:val="4A9728A4"/>
    <w:rsid w:val="4AB376F3"/>
    <w:rsid w:val="4AB44C79"/>
    <w:rsid w:val="4AD95BB6"/>
    <w:rsid w:val="4AE637A8"/>
    <w:rsid w:val="4B2064B0"/>
    <w:rsid w:val="4B454CD8"/>
    <w:rsid w:val="4B4D62F3"/>
    <w:rsid w:val="4B77154F"/>
    <w:rsid w:val="4BAE3FF3"/>
    <w:rsid w:val="4BB60E11"/>
    <w:rsid w:val="4BCF3252"/>
    <w:rsid w:val="4BE54907"/>
    <w:rsid w:val="4C575F54"/>
    <w:rsid w:val="4C591239"/>
    <w:rsid w:val="4CA969E6"/>
    <w:rsid w:val="4CD264C8"/>
    <w:rsid w:val="4D3C1BA8"/>
    <w:rsid w:val="4D9B65DC"/>
    <w:rsid w:val="4DA9413D"/>
    <w:rsid w:val="4E1A5040"/>
    <w:rsid w:val="4E5E7CB4"/>
    <w:rsid w:val="4EB62E28"/>
    <w:rsid w:val="4EF01E61"/>
    <w:rsid w:val="4EF84412"/>
    <w:rsid w:val="4F0E67C1"/>
    <w:rsid w:val="4F7F1400"/>
    <w:rsid w:val="4FAF1FE1"/>
    <w:rsid w:val="4FB5368D"/>
    <w:rsid w:val="4FC130AA"/>
    <w:rsid w:val="4FF26FB6"/>
    <w:rsid w:val="508B6C5A"/>
    <w:rsid w:val="51972943"/>
    <w:rsid w:val="51B421DA"/>
    <w:rsid w:val="51C5300E"/>
    <w:rsid w:val="51EB2DE9"/>
    <w:rsid w:val="521560B8"/>
    <w:rsid w:val="5221340A"/>
    <w:rsid w:val="522D631E"/>
    <w:rsid w:val="524624B8"/>
    <w:rsid w:val="526862D8"/>
    <w:rsid w:val="526D5DF7"/>
    <w:rsid w:val="52AF44D2"/>
    <w:rsid w:val="52C10843"/>
    <w:rsid w:val="53301CD2"/>
    <w:rsid w:val="53D53105"/>
    <w:rsid w:val="53E37769"/>
    <w:rsid w:val="541F0A10"/>
    <w:rsid w:val="547B0177"/>
    <w:rsid w:val="548F3451"/>
    <w:rsid w:val="54EE2ECD"/>
    <w:rsid w:val="54FE094A"/>
    <w:rsid w:val="55003FC5"/>
    <w:rsid w:val="554C5F1C"/>
    <w:rsid w:val="557971C4"/>
    <w:rsid w:val="558570B1"/>
    <w:rsid w:val="558F01BA"/>
    <w:rsid w:val="559641A4"/>
    <w:rsid w:val="55C015D7"/>
    <w:rsid w:val="55E71372"/>
    <w:rsid w:val="56A61B09"/>
    <w:rsid w:val="56CA36B7"/>
    <w:rsid w:val="56E04F89"/>
    <w:rsid w:val="56EE428E"/>
    <w:rsid w:val="576C7254"/>
    <w:rsid w:val="581C141D"/>
    <w:rsid w:val="593140B6"/>
    <w:rsid w:val="594B42FC"/>
    <w:rsid w:val="599477B0"/>
    <w:rsid w:val="59AB14DB"/>
    <w:rsid w:val="5A040EEC"/>
    <w:rsid w:val="5A9204AB"/>
    <w:rsid w:val="5AA5437C"/>
    <w:rsid w:val="5ABF4E13"/>
    <w:rsid w:val="5B14581D"/>
    <w:rsid w:val="5C9C18B0"/>
    <w:rsid w:val="5CAA62EA"/>
    <w:rsid w:val="5CC20DCB"/>
    <w:rsid w:val="5D0B39B4"/>
    <w:rsid w:val="5D0E5BDE"/>
    <w:rsid w:val="5D283BE6"/>
    <w:rsid w:val="5D2E19C9"/>
    <w:rsid w:val="5D3A2517"/>
    <w:rsid w:val="5D697FCD"/>
    <w:rsid w:val="5E2B7874"/>
    <w:rsid w:val="5F874D0B"/>
    <w:rsid w:val="602E6E28"/>
    <w:rsid w:val="60492360"/>
    <w:rsid w:val="605A3FC8"/>
    <w:rsid w:val="607D00FD"/>
    <w:rsid w:val="60AD3A2E"/>
    <w:rsid w:val="60BA4BA0"/>
    <w:rsid w:val="61580D0F"/>
    <w:rsid w:val="61D06084"/>
    <w:rsid w:val="6206024F"/>
    <w:rsid w:val="63253392"/>
    <w:rsid w:val="63306AC8"/>
    <w:rsid w:val="63FA19FC"/>
    <w:rsid w:val="63FB7E82"/>
    <w:rsid w:val="643A2E76"/>
    <w:rsid w:val="644A1BF1"/>
    <w:rsid w:val="645C39D7"/>
    <w:rsid w:val="64615C38"/>
    <w:rsid w:val="64B87748"/>
    <w:rsid w:val="65256282"/>
    <w:rsid w:val="652D54BF"/>
    <w:rsid w:val="654D77C7"/>
    <w:rsid w:val="65F52031"/>
    <w:rsid w:val="661D0FFC"/>
    <w:rsid w:val="6689778C"/>
    <w:rsid w:val="677F45A3"/>
    <w:rsid w:val="678E03A2"/>
    <w:rsid w:val="67BB5797"/>
    <w:rsid w:val="67F97BB1"/>
    <w:rsid w:val="680D6A96"/>
    <w:rsid w:val="68235FEA"/>
    <w:rsid w:val="689C3B96"/>
    <w:rsid w:val="68BC0BE4"/>
    <w:rsid w:val="68F14D31"/>
    <w:rsid w:val="69683DA6"/>
    <w:rsid w:val="69AA4A11"/>
    <w:rsid w:val="69E75C05"/>
    <w:rsid w:val="69FC3C50"/>
    <w:rsid w:val="6A9C498A"/>
    <w:rsid w:val="6AC42AA0"/>
    <w:rsid w:val="6AE02AF0"/>
    <w:rsid w:val="6AF91D1B"/>
    <w:rsid w:val="6AFC7A20"/>
    <w:rsid w:val="6B067DD0"/>
    <w:rsid w:val="6B2663F1"/>
    <w:rsid w:val="6B644B4D"/>
    <w:rsid w:val="6B6B77CC"/>
    <w:rsid w:val="6B9B753F"/>
    <w:rsid w:val="6BA32E46"/>
    <w:rsid w:val="6BB50693"/>
    <w:rsid w:val="6BC7362F"/>
    <w:rsid w:val="6BCA0398"/>
    <w:rsid w:val="6BEB59B5"/>
    <w:rsid w:val="6BFE29D2"/>
    <w:rsid w:val="6BFE3F61"/>
    <w:rsid w:val="6C2C731F"/>
    <w:rsid w:val="6C4B29AA"/>
    <w:rsid w:val="6C56783B"/>
    <w:rsid w:val="6C874C30"/>
    <w:rsid w:val="6C8E4C8E"/>
    <w:rsid w:val="6CA12289"/>
    <w:rsid w:val="6D762006"/>
    <w:rsid w:val="6DA15454"/>
    <w:rsid w:val="6DA51079"/>
    <w:rsid w:val="6E1C72AA"/>
    <w:rsid w:val="6E2B7C8F"/>
    <w:rsid w:val="6E670D10"/>
    <w:rsid w:val="6EFF4A70"/>
    <w:rsid w:val="6F110422"/>
    <w:rsid w:val="6F132490"/>
    <w:rsid w:val="6F1575E6"/>
    <w:rsid w:val="6F5947B4"/>
    <w:rsid w:val="6F757850"/>
    <w:rsid w:val="70112B7B"/>
    <w:rsid w:val="706E3E9B"/>
    <w:rsid w:val="707F1DF3"/>
    <w:rsid w:val="70F35BDC"/>
    <w:rsid w:val="71290D1D"/>
    <w:rsid w:val="723B6C60"/>
    <w:rsid w:val="723F2CEC"/>
    <w:rsid w:val="724F3D89"/>
    <w:rsid w:val="726E0125"/>
    <w:rsid w:val="72C575CC"/>
    <w:rsid w:val="73042EEF"/>
    <w:rsid w:val="731316CC"/>
    <w:rsid w:val="73177DD1"/>
    <w:rsid w:val="733D6C5B"/>
    <w:rsid w:val="734359D5"/>
    <w:rsid w:val="738C7BA9"/>
    <w:rsid w:val="73CD7AEE"/>
    <w:rsid w:val="73FC330D"/>
    <w:rsid w:val="743021D2"/>
    <w:rsid w:val="74967E23"/>
    <w:rsid w:val="74BC2628"/>
    <w:rsid w:val="74CB28DA"/>
    <w:rsid w:val="7518387B"/>
    <w:rsid w:val="75205BC0"/>
    <w:rsid w:val="755742DC"/>
    <w:rsid w:val="758275FD"/>
    <w:rsid w:val="764B349A"/>
    <w:rsid w:val="766F017D"/>
    <w:rsid w:val="767514C2"/>
    <w:rsid w:val="76891462"/>
    <w:rsid w:val="768F7938"/>
    <w:rsid w:val="769E5F35"/>
    <w:rsid w:val="76C4268E"/>
    <w:rsid w:val="76EE28B0"/>
    <w:rsid w:val="77623D4D"/>
    <w:rsid w:val="77B648CA"/>
    <w:rsid w:val="77BC5134"/>
    <w:rsid w:val="77BD6850"/>
    <w:rsid w:val="77C9104E"/>
    <w:rsid w:val="78206AEF"/>
    <w:rsid w:val="78444777"/>
    <w:rsid w:val="78491E93"/>
    <w:rsid w:val="7883527A"/>
    <w:rsid w:val="78D13FDA"/>
    <w:rsid w:val="78DE0CA0"/>
    <w:rsid w:val="79A46128"/>
    <w:rsid w:val="7A0A3922"/>
    <w:rsid w:val="7A561DDD"/>
    <w:rsid w:val="7A844AF8"/>
    <w:rsid w:val="7ACA0875"/>
    <w:rsid w:val="7AFA4D2B"/>
    <w:rsid w:val="7B0C6CB3"/>
    <w:rsid w:val="7B9E6857"/>
    <w:rsid w:val="7C6B169C"/>
    <w:rsid w:val="7C6B7A73"/>
    <w:rsid w:val="7C6E3AAD"/>
    <w:rsid w:val="7C7F7B8E"/>
    <w:rsid w:val="7CA7624C"/>
    <w:rsid w:val="7CD1448D"/>
    <w:rsid w:val="7CDA64EC"/>
    <w:rsid w:val="7D005642"/>
    <w:rsid w:val="7D27595F"/>
    <w:rsid w:val="7D305CC2"/>
    <w:rsid w:val="7D571660"/>
    <w:rsid w:val="7D9872FE"/>
    <w:rsid w:val="7DA1727D"/>
    <w:rsid w:val="7E447CAC"/>
    <w:rsid w:val="7E471C13"/>
    <w:rsid w:val="7E61558C"/>
    <w:rsid w:val="7EAF19AB"/>
    <w:rsid w:val="7EE15734"/>
    <w:rsid w:val="7EE706DD"/>
    <w:rsid w:val="7F224767"/>
    <w:rsid w:val="7F6233A6"/>
    <w:rsid w:val="7F682353"/>
    <w:rsid w:val="7F892326"/>
    <w:rsid w:val="7FAE0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ind w:firstLine="600" w:firstLineChars="200"/>
      <w:jc w:val="both"/>
    </w:pPr>
    <w:rPr>
      <w:rFonts w:ascii="方正仿宋_GBK" w:hAnsi="方正仿宋_GBK" w:eastAsia="方正仿宋_GBK" w:cs="黑体"/>
      <w:kern w:val="2"/>
      <w:sz w:val="32"/>
      <w:szCs w:val="22"/>
      <w:lang w:val="en-US" w:eastAsia="zh-CN" w:bidi="ar-SA"/>
    </w:rPr>
  </w:style>
  <w:style w:type="paragraph" w:styleId="4">
    <w:name w:val="heading 1"/>
    <w:basedOn w:val="1"/>
    <w:next w:val="1"/>
    <w:qFormat/>
    <w:uiPriority w:val="0"/>
    <w:pPr>
      <w:keepNext/>
      <w:keepLines/>
      <w:spacing w:before="200" w:beforeLines="0" w:beforeAutospacing="0" w:after="200" w:afterLines="0" w:afterAutospacing="0" w:line="570" w:lineRule="exact"/>
      <w:outlineLvl w:val="0"/>
    </w:pPr>
    <w:rPr>
      <w:rFonts w:eastAsia="方正黑体_GBK"/>
      <w:b/>
      <w:kern w:val="44"/>
    </w:rPr>
  </w:style>
  <w:style w:type="paragraph" w:styleId="5">
    <w:name w:val="heading 2"/>
    <w:basedOn w:val="1"/>
    <w:next w:val="1"/>
    <w:qFormat/>
    <w:uiPriority w:val="1"/>
    <w:pPr>
      <w:ind w:left="0"/>
      <w:outlineLvl w:val="1"/>
    </w:pPr>
    <w:rPr>
      <w:rFonts w:ascii="仿宋_GB2312" w:hAnsi="仿宋_GB2312" w:eastAsia="方正仿宋_GBK" w:cs="仿宋_GB2312"/>
      <w:b/>
      <w:bCs/>
      <w:szCs w:val="32"/>
      <w:lang w:val="zh-CN" w:bidi="zh-CN"/>
    </w:rPr>
  </w:style>
  <w:style w:type="paragraph" w:styleId="6">
    <w:name w:val="heading 3"/>
    <w:basedOn w:val="1"/>
    <w:next w:val="1"/>
    <w:unhideWhenUsed/>
    <w:qFormat/>
    <w:uiPriority w:val="0"/>
    <w:pPr>
      <w:keepNext/>
      <w:keepLines/>
      <w:spacing w:beforeLines="0" w:beforeAutospacing="0" w:afterLines="0" w:afterAutospacing="0" w:line="570" w:lineRule="exact"/>
      <w:outlineLvl w:val="2"/>
    </w:pPr>
    <w:rPr>
      <w:b/>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ascii="Calibri" w:hAnsi="Calibri"/>
    </w:rPr>
  </w:style>
  <w:style w:type="paragraph" w:styleId="3">
    <w:name w:val="Body Text Indent"/>
    <w:basedOn w:val="1"/>
    <w:qFormat/>
    <w:uiPriority w:val="99"/>
    <w:pPr>
      <w:spacing w:after="120"/>
      <w:ind w:left="420" w:leftChars="200"/>
    </w:pPr>
  </w:style>
  <w:style w:type="paragraph" w:styleId="8">
    <w:name w:val="annotation text"/>
    <w:basedOn w:val="1"/>
    <w:link w:val="29"/>
    <w:unhideWhenUsed/>
    <w:qFormat/>
    <w:uiPriority w:val="99"/>
    <w:rPr>
      <w:rFonts w:ascii="Calibri" w:hAnsi="Calibri" w:cs="Times New Roman"/>
      <w:kern w:val="0"/>
      <w:sz w:val="20"/>
      <w:szCs w:val="20"/>
    </w:rPr>
  </w:style>
  <w:style w:type="paragraph" w:styleId="9">
    <w:name w:val="Body Text"/>
    <w:basedOn w:val="1"/>
    <w:link w:val="26"/>
    <w:qFormat/>
    <w:uiPriority w:val="1"/>
    <w:rPr>
      <w:rFonts w:ascii="仿宋_GB2312" w:hAnsi="仿宋_GB2312" w:eastAsia="仿宋_GB2312" w:cs="仿宋_GB2312"/>
      <w:sz w:val="32"/>
      <w:szCs w:val="32"/>
      <w:lang w:val="zh-CN" w:eastAsia="zh-CN" w:bidi="zh-CN"/>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spacing w:before="120" w:after="120"/>
      <w:jc w:val="left"/>
    </w:pPr>
    <w:rPr>
      <w:rFonts w:ascii="Calibri" w:hAnsi="Calibri" w:cs="Calibri"/>
      <w:b/>
      <w:bCs/>
      <w:caps/>
      <w:sz w:val="20"/>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paragraph" w:customStyle="1" w:styleId="21">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22">
    <w:name w:val="List Paragraph"/>
    <w:basedOn w:val="1"/>
    <w:qFormat/>
    <w:uiPriority w:val="1"/>
    <w:pPr>
      <w:ind w:left="1002" w:hanging="243"/>
    </w:pPr>
    <w:rPr>
      <w:rFonts w:ascii="仿宋_GB2312" w:hAnsi="仿宋_GB2312" w:eastAsia="仿宋_GB2312" w:cs="仿宋_GB2312"/>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闻政-正文段落文字"/>
    <w:basedOn w:val="1"/>
    <w:qFormat/>
    <w:uiPriority w:val="3"/>
    <w:pPr>
      <w:spacing w:line="500" w:lineRule="exact"/>
      <w:ind w:firstLine="200"/>
    </w:pPr>
    <w:rPr>
      <w:rFonts w:ascii="Times New Roman" w:hAnsi="Times New Roman" w:cs="Times New Roman"/>
      <w:kern w:val="0"/>
      <w:szCs w:val="28"/>
    </w:rPr>
  </w:style>
  <w:style w:type="paragraph" w:customStyle="1" w:styleId="25">
    <w:name w:val="闻政正文"/>
    <w:basedOn w:val="1"/>
    <w:qFormat/>
    <w:uiPriority w:val="99"/>
    <w:pPr>
      <w:spacing w:line="500" w:lineRule="exact"/>
      <w:ind w:firstLine="560" w:firstLineChars="200"/>
    </w:pPr>
    <w:rPr>
      <w:rFonts w:ascii="Times New Roman" w:hAnsi="Times New Roman" w:eastAsia="仿宋_GB2312"/>
      <w:kern w:val="0"/>
      <w:sz w:val="28"/>
      <w:szCs w:val="28"/>
    </w:rPr>
  </w:style>
  <w:style w:type="character" w:customStyle="1" w:styleId="26">
    <w:name w:val="正文文本 Char"/>
    <w:link w:val="9"/>
    <w:qFormat/>
    <w:uiPriority w:val="1"/>
    <w:rPr>
      <w:rFonts w:ascii="仿宋_GB2312" w:hAnsi="仿宋_GB2312" w:eastAsia="仿宋_GB2312" w:cs="仿宋_GB2312"/>
      <w:sz w:val="32"/>
      <w:szCs w:val="32"/>
      <w:lang w:val="zh-CN" w:eastAsia="zh-CN" w:bidi="zh-CN"/>
    </w:rPr>
  </w:style>
  <w:style w:type="paragraph" w:customStyle="1" w:styleId="27">
    <w:name w:val="闻政-正文一级标题"/>
    <w:basedOn w:val="6"/>
    <w:next w:val="24"/>
    <w:qFormat/>
    <w:uiPriority w:val="3"/>
    <w:pPr>
      <w:spacing w:before="120" w:after="60" w:line="500" w:lineRule="exact"/>
      <w:ind w:firstLine="0" w:firstLineChars="0"/>
      <w:outlineLvl w:val="0"/>
    </w:pPr>
    <w:rPr>
      <w:rFonts w:ascii="黑体" w:hAnsi="黑体" w:eastAsia="黑体"/>
      <w:sz w:val="32"/>
    </w:rPr>
  </w:style>
  <w:style w:type="paragraph" w:customStyle="1" w:styleId="28">
    <w:name w:val="闻政-正文二级标题"/>
    <w:basedOn w:val="5"/>
    <w:next w:val="24"/>
    <w:qFormat/>
    <w:uiPriority w:val="3"/>
    <w:pPr>
      <w:spacing w:before="120" w:after="60" w:line="500" w:lineRule="exact"/>
      <w:ind w:left="200" w:leftChars="200" w:firstLine="0" w:firstLineChars="0"/>
    </w:pPr>
    <w:rPr>
      <w:rFonts w:ascii="Times New Roman" w:hAnsi="Times New Roman"/>
      <w:sz w:val="28"/>
    </w:rPr>
  </w:style>
  <w:style w:type="character" w:customStyle="1" w:styleId="29">
    <w:name w:val="批注文字 字符"/>
    <w:basedOn w:val="18"/>
    <w:link w:val="8"/>
    <w:qFormat/>
    <w:uiPriority w:val="0"/>
    <w:rPr>
      <w:rFonts w:hint="default" w:ascii="Calibri" w:hAnsi="Calibri" w:eastAsia="仿宋_GB2312" w:cs="Calibri"/>
      <w:lang w:bidi="ar"/>
    </w:rPr>
  </w:style>
  <w:style w:type="paragraph" w:customStyle="1" w:styleId="30">
    <w:name w:val="FZ表格标题行首列"/>
    <w:basedOn w:val="1"/>
    <w:qFormat/>
    <w:uiPriority w:val="0"/>
    <w:pPr>
      <w:snapToGrid w:val="0"/>
      <w:spacing w:before="10" w:after="10"/>
      <w:ind w:left="1" w:leftChars="1" w:right="1" w:rightChars="1" w:firstLine="74" w:firstLineChars="50"/>
      <w:jc w:val="left"/>
    </w:pPr>
    <w:rPr>
      <w:rFonts w:ascii="宋体" w:hAnsi="宋体" w:eastAsia="宋体"/>
      <w:color w:val="000000"/>
      <w:sz w:val="18"/>
    </w:rPr>
  </w:style>
  <w:style w:type="paragraph" w:customStyle="1" w:styleId="31">
    <w:name w:val="FZ表格标题行"/>
    <w:basedOn w:val="1"/>
    <w:qFormat/>
    <w:uiPriority w:val="0"/>
    <w:pPr>
      <w:snapToGrid w:val="0"/>
      <w:spacing w:before="10" w:after="10"/>
      <w:ind w:left="1" w:leftChars="1" w:right="1" w:rightChars="1" w:firstLine="74" w:firstLineChars="74"/>
      <w:jc w:val="center"/>
    </w:pPr>
    <w:rPr>
      <w:rFonts w:ascii="宋体" w:hAnsi="宋体" w:eastAsia="宋体"/>
      <w:color w:val="000000"/>
      <w:sz w:val="18"/>
    </w:rPr>
  </w:style>
  <w:style w:type="paragraph" w:customStyle="1" w:styleId="32">
    <w:name w:val="FZ标题3"/>
    <w:basedOn w:val="6"/>
    <w:qFormat/>
    <w:uiPriority w:val="0"/>
    <w:pPr>
      <w:keepNext w:val="0"/>
      <w:keepLines w:val="0"/>
      <w:snapToGrid w:val="0"/>
      <w:spacing w:before="0" w:beforeLines="50" w:after="0" w:line="360" w:lineRule="auto"/>
      <w:ind w:left="1" w:leftChars="1" w:right="1" w:rightChars="1" w:firstLine="200" w:firstLineChars="200"/>
      <w:jc w:val="left"/>
    </w:pPr>
    <w:rPr>
      <w:rFonts w:ascii="宋体" w:hAnsi="宋体" w:eastAsia="仿宋_GB2312" w:cstheme="majorBidi"/>
      <w:color w:val="000000"/>
      <w:sz w:val="28"/>
    </w:rPr>
  </w:style>
  <w:style w:type="paragraph" w:customStyle="1" w:styleId="33">
    <w:name w:val="FZ正文"/>
    <w:basedOn w:val="1"/>
    <w:qFormat/>
    <w:uiPriority w:val="0"/>
    <w:pPr>
      <w:snapToGrid w:val="0"/>
      <w:spacing w:line="360" w:lineRule="auto"/>
      <w:ind w:left="1" w:leftChars="1" w:right="1" w:rightChars="1" w:firstLine="200" w:firstLineChars="200"/>
    </w:pPr>
    <w:rPr>
      <w:rFonts w:ascii="Times New Roman" w:hAnsi="Times New Roman" w:eastAsia="仿宋_GB2312" w:cs="Times New Roman"/>
      <w:color w:val="000000"/>
      <w:sz w:val="28"/>
    </w:rPr>
  </w:style>
  <w:style w:type="paragraph" w:customStyle="1" w:styleId="34">
    <w:name w:val="FZ副标题"/>
    <w:basedOn w:val="1"/>
    <w:qFormat/>
    <w:uiPriority w:val="0"/>
    <w:pPr>
      <w:snapToGrid w:val="0"/>
      <w:spacing w:beforeLines="50"/>
      <w:ind w:left="1" w:leftChars="1" w:right="1" w:rightChars="1" w:firstLine="1" w:firstLineChars="1"/>
      <w:jc w:val="center"/>
    </w:pPr>
    <w:rPr>
      <w:rFonts w:ascii="宋体" w:hAnsi="宋体" w:eastAsia="仿宋_GB2312"/>
      <w:color w:val="000000"/>
      <w:sz w:val="28"/>
    </w:rPr>
  </w:style>
  <w:style w:type="paragraph" w:customStyle="1" w:styleId="35">
    <w:name w:val="FZ表格正文行首列"/>
    <w:basedOn w:val="1"/>
    <w:qFormat/>
    <w:uiPriority w:val="0"/>
    <w:pPr>
      <w:snapToGrid w:val="0"/>
      <w:spacing w:before="10" w:after="10"/>
      <w:ind w:left="1" w:leftChars="1" w:right="1" w:rightChars="1" w:firstLine="50" w:firstLineChars="50"/>
      <w:jc w:val="left"/>
    </w:pPr>
    <w:rPr>
      <w:rFonts w:ascii="宋体" w:hAnsi="宋体" w:eastAsia="宋体"/>
      <w:color w:val="000000"/>
      <w:sz w:val="18"/>
    </w:rPr>
  </w:style>
  <w:style w:type="paragraph" w:customStyle="1" w:styleId="36">
    <w:name w:val="FZ表格正文行"/>
    <w:basedOn w:val="1"/>
    <w:qFormat/>
    <w:uiPriority w:val="0"/>
    <w:pPr>
      <w:snapToGrid w:val="0"/>
      <w:spacing w:before="10" w:after="10"/>
      <w:ind w:left="1" w:leftChars="1" w:right="1" w:rightChars="50" w:firstLine="74" w:firstLineChars="50"/>
      <w:jc w:val="right"/>
    </w:pPr>
    <w:rPr>
      <w:rFonts w:ascii="Times New Roman" w:hAnsi="Times New Roman" w:eastAsia="宋体"/>
      <w:color w:val="000000"/>
      <w:sz w:val="18"/>
    </w:rPr>
  </w:style>
  <w:style w:type="paragraph" w:customStyle="1" w:styleId="37">
    <w:name w:val="列表段落1"/>
    <w:basedOn w:val="1"/>
    <w:qFormat/>
    <w:uiPriority w:val="34"/>
    <w:pPr>
      <w:ind w:firstLine="420" w:firstLineChars="200"/>
    </w:p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 w:type="table" w:customStyle="1" w:styleId="41">
    <w:name w:val="表格样式1"/>
    <w:basedOn w:val="16"/>
    <w:qFormat/>
    <w:uiPriority w:val="0"/>
  </w:style>
  <w:style w:type="paragraph" w:customStyle="1" w:styleId="42">
    <w:name w:val="和田正文1a"/>
    <w:basedOn w:val="1"/>
    <w:qFormat/>
    <w:uiPriority w:val="0"/>
    <w:pPr>
      <w:spacing w:line="560" w:lineRule="exact"/>
      <w:ind w:firstLine="1004" w:firstLineChars="200"/>
      <w:jc w:val="left"/>
    </w:pPr>
    <w:rPr>
      <w:kern w:val="0"/>
      <w:sz w:val="32"/>
      <w:szCs w:val="32"/>
      <w:lang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3dc453f-f042-418d-8324-396420ddbfa1}"/>
        <w:style w:val=""/>
        <w:category>
          <w:name w:val="常规"/>
          <w:gallery w:val="placeholder"/>
        </w:category>
        <w:types>
          <w:type w:val="bbPlcHdr"/>
        </w:types>
        <w:behaviors>
          <w:behavior w:val="content"/>
        </w:behaviors>
        <w:description w:val=""/>
        <w:guid w:val="{f3dc453f-f042-418d-8324-396420ddbfa1}"/>
      </w:docPartPr>
      <w:docPartBody>
        <w:p>
          <w:r>
            <w:rPr>
              <w:color w:val="808080"/>
            </w:rPr>
            <w:t>单击此处输入文字。</w:t>
          </w:r>
        </w:p>
      </w:docPartBody>
    </w:docPart>
    <w:docPart>
      <w:docPartPr>
        <w:name w:val="{1e025960-e1ea-4919-89f5-2a2544913b3d}"/>
        <w:style w:val=""/>
        <w:category>
          <w:name w:val="常规"/>
          <w:gallery w:val="placeholder"/>
        </w:category>
        <w:types>
          <w:type w:val="bbPlcHdr"/>
        </w:types>
        <w:behaviors>
          <w:behavior w:val="content"/>
        </w:behaviors>
        <w:description w:val=""/>
        <w:guid w:val="{1e025960-e1ea-4919-89f5-2a2544913b3d}"/>
      </w:docPartPr>
      <w:docPartBody>
        <w:p>
          <w:r>
            <w:rPr>
              <w:color w:val="808080"/>
            </w:rPr>
            <w:t>单击此处输入文字。</w:t>
          </w:r>
        </w:p>
      </w:docPartBody>
    </w:docPart>
    <w:docPart>
      <w:docPartPr>
        <w:name w:val="{d4fc3e50-d810-477c-b95f-77430fb1b8e8}"/>
        <w:style w:val=""/>
        <w:category>
          <w:name w:val="常规"/>
          <w:gallery w:val="placeholder"/>
        </w:category>
        <w:types>
          <w:type w:val="bbPlcHdr"/>
        </w:types>
        <w:behaviors>
          <w:behavior w:val="content"/>
        </w:behaviors>
        <w:description w:val=""/>
        <w:guid w:val="{d4fc3e50-d810-477c-b95f-77430fb1b8e8}"/>
      </w:docPartPr>
      <w:docPartBody>
        <w:p>
          <w:r>
            <w:rPr>
              <w:color w:val="808080"/>
            </w:rPr>
            <w:t>单击此处输入文字。</w:t>
          </w:r>
        </w:p>
      </w:docPartBody>
    </w:docPart>
    <w:docPart>
      <w:docPartPr>
        <w:name w:val="{f542f410-2143-4d46-acd7-12b6f3b54e50}"/>
        <w:style w:val=""/>
        <w:category>
          <w:name w:val="常规"/>
          <w:gallery w:val="placeholder"/>
        </w:category>
        <w:types>
          <w:type w:val="bbPlcHdr"/>
        </w:types>
        <w:behaviors>
          <w:behavior w:val="content"/>
        </w:behaviors>
        <w:description w:val=""/>
        <w:guid w:val="{f542f410-2143-4d46-acd7-12b6f3b54e50}"/>
      </w:docPartPr>
      <w:docPartBody>
        <w:p>
          <w:r>
            <w:rPr>
              <w:color w:val="808080"/>
            </w:rPr>
            <w:t>单击此处输入文字。</w:t>
          </w:r>
        </w:p>
      </w:docPartBody>
    </w:docPart>
    <w:docPart>
      <w:docPartPr>
        <w:name w:val="{ffabf788-0cb4-491c-8c2b-542b6dfc5ab3}"/>
        <w:style w:val=""/>
        <w:category>
          <w:name w:val="常规"/>
          <w:gallery w:val="placeholder"/>
        </w:category>
        <w:types>
          <w:type w:val="bbPlcHdr"/>
        </w:types>
        <w:behaviors>
          <w:behavior w:val="content"/>
        </w:behaviors>
        <w:description w:val=""/>
        <w:guid w:val="{ffabf788-0cb4-491c-8c2b-542b6dfc5ab3}"/>
      </w:docPartPr>
      <w:docPartBody>
        <w:p>
          <w:r>
            <w:rPr>
              <w:color w:val="808080"/>
            </w:rPr>
            <w:t>单击此处输入文字。</w:t>
          </w:r>
        </w:p>
      </w:docPartBody>
    </w:docPart>
    <w:docPart>
      <w:docPartPr>
        <w:name w:val="{e916c401-c904-4dd2-9f65-029ed136ed94}"/>
        <w:style w:val=""/>
        <w:category>
          <w:name w:val="常规"/>
          <w:gallery w:val="placeholder"/>
        </w:category>
        <w:types>
          <w:type w:val="bbPlcHdr"/>
        </w:types>
        <w:behaviors>
          <w:behavior w:val="content"/>
        </w:behaviors>
        <w:description w:val=""/>
        <w:guid w:val="{e916c401-c904-4dd2-9f65-029ed136ed94}"/>
      </w:docPartPr>
      <w:docPartBody>
        <w:p>
          <w:r>
            <w:rPr>
              <w:color w:val="808080"/>
            </w:rPr>
            <w:t>单击此处输入文字。</w:t>
          </w:r>
        </w:p>
      </w:docPartBody>
    </w:docPart>
    <w:docPart>
      <w:docPartPr>
        <w:name w:val="{5f594a1c-11e6-45f0-b637-88e626332fbd}"/>
        <w:style w:val=""/>
        <w:category>
          <w:name w:val="常规"/>
          <w:gallery w:val="placeholder"/>
        </w:category>
        <w:types>
          <w:type w:val="bbPlcHdr"/>
        </w:types>
        <w:behaviors>
          <w:behavior w:val="content"/>
        </w:behaviors>
        <w:description w:val=""/>
        <w:guid w:val="{5f594a1c-11e6-45f0-b637-88e626332fbd}"/>
      </w:docPartPr>
      <w:docPartBody>
        <w:p>
          <w:r>
            <w:rPr>
              <w:color w:val="808080"/>
            </w:rPr>
            <w:t>单击此处输入文字。</w:t>
          </w:r>
        </w:p>
      </w:docPartBody>
    </w:docPart>
    <w:docPart>
      <w:docPartPr>
        <w:name w:val="{3ae82769-382e-457b-be2b-35ae6b90e5af}"/>
        <w:style w:val=""/>
        <w:category>
          <w:name w:val="常规"/>
          <w:gallery w:val="placeholder"/>
        </w:category>
        <w:types>
          <w:type w:val="bbPlcHdr"/>
        </w:types>
        <w:behaviors>
          <w:behavior w:val="content"/>
        </w:behaviors>
        <w:description w:val=""/>
        <w:guid w:val="{3ae82769-382e-457b-be2b-35ae6b90e5af}"/>
      </w:docPartPr>
      <w:docPartBody>
        <w:p>
          <w:r>
            <w:rPr>
              <w:color w:val="808080"/>
            </w:rPr>
            <w:t>单击此处输入文字。</w:t>
          </w:r>
        </w:p>
      </w:docPartBody>
    </w:docPart>
    <w:docPart>
      <w:docPartPr>
        <w:name w:val="{166f3a14-498b-4109-aba8-3919cf7299b2}"/>
        <w:style w:val=""/>
        <w:category>
          <w:name w:val="常规"/>
          <w:gallery w:val="placeholder"/>
        </w:category>
        <w:types>
          <w:type w:val="bbPlcHdr"/>
        </w:types>
        <w:behaviors>
          <w:behavior w:val="content"/>
        </w:behaviors>
        <w:description w:val=""/>
        <w:guid w:val="{166f3a14-498b-4109-aba8-3919cf7299b2}"/>
      </w:docPartPr>
      <w:docPartBody>
        <w:p>
          <w:r>
            <w:rPr>
              <w:color w:val="808080"/>
            </w:rPr>
            <w:t>单击此处输入文字。</w:t>
          </w:r>
        </w:p>
      </w:docPartBody>
    </w:docPart>
    <w:docPart>
      <w:docPartPr>
        <w:name w:val="{4f3f0292-d552-4800-b5e5-f45a4bc06a57}"/>
        <w:style w:val=""/>
        <w:category>
          <w:name w:val="常规"/>
          <w:gallery w:val="placeholder"/>
        </w:category>
        <w:types>
          <w:type w:val="bbPlcHdr"/>
        </w:types>
        <w:behaviors>
          <w:behavior w:val="content"/>
        </w:behaviors>
        <w:description w:val=""/>
        <w:guid w:val="{4f3f0292-d552-4800-b5e5-f45a4bc06a57}"/>
      </w:docPartPr>
      <w:docPartBody>
        <w:p>
          <w:r>
            <w:rPr>
              <w:color w:val="808080"/>
            </w:rPr>
            <w:t>单击此处输入文字。</w:t>
          </w:r>
        </w:p>
      </w:docPartBody>
    </w:docPart>
    <w:docPart>
      <w:docPartPr>
        <w:name w:val="{55aa1196-d122-4cb5-adf2-4e4f1ad4ea51}"/>
        <w:style w:val=""/>
        <w:category>
          <w:name w:val="常规"/>
          <w:gallery w:val="placeholder"/>
        </w:category>
        <w:types>
          <w:type w:val="bbPlcHdr"/>
        </w:types>
        <w:behaviors>
          <w:behavior w:val="content"/>
        </w:behaviors>
        <w:description w:val=""/>
        <w:guid w:val="{55aa1196-d122-4cb5-adf2-4e4f1ad4ea51}"/>
      </w:docPartPr>
      <w:docPartBody>
        <w:p>
          <w:r>
            <w:rPr>
              <w:color w:val="808080"/>
            </w:rPr>
            <w:t>单击此处输入文字。</w:t>
          </w:r>
        </w:p>
      </w:docPartBody>
    </w:docPart>
    <w:docPart>
      <w:docPartPr>
        <w:name w:val="{06efa567-d152-467b-9a4e-2e64ca6d3865}"/>
        <w:style w:val=""/>
        <w:category>
          <w:name w:val="常规"/>
          <w:gallery w:val="placeholder"/>
        </w:category>
        <w:types>
          <w:type w:val="bbPlcHdr"/>
        </w:types>
        <w:behaviors>
          <w:behavior w:val="content"/>
        </w:behaviors>
        <w:description w:val=""/>
        <w:guid w:val="{06efa567-d152-467b-9a4e-2e64ca6d3865}"/>
      </w:docPartPr>
      <w:docPartBody>
        <w:p>
          <w:r>
            <w:rPr>
              <w:color w:val="808080"/>
            </w:rPr>
            <w:t>单击此处输入文字。</w:t>
          </w:r>
        </w:p>
      </w:docPartBody>
    </w:docPart>
    <w:docPart>
      <w:docPartPr>
        <w:name w:val="{4df8989b-20af-439f-927f-ab6854233697}"/>
        <w:style w:val=""/>
        <w:category>
          <w:name w:val="常规"/>
          <w:gallery w:val="placeholder"/>
        </w:category>
        <w:types>
          <w:type w:val="bbPlcHdr"/>
        </w:types>
        <w:behaviors>
          <w:behavior w:val="content"/>
        </w:behaviors>
        <w:description w:val=""/>
        <w:guid w:val="{4df8989b-20af-439f-927f-ab6854233697}"/>
      </w:docPartPr>
      <w:docPartBody>
        <w:p>
          <w:r>
            <w:rPr>
              <w:color w:val="808080"/>
            </w:rPr>
            <w:t>单击此处输入文字。</w:t>
          </w:r>
        </w:p>
      </w:docPartBody>
    </w:docPart>
    <w:docPart>
      <w:docPartPr>
        <w:name w:val="{3e866bdc-19b7-46df-932c-1fa654b04173}"/>
        <w:style w:val=""/>
        <w:category>
          <w:name w:val="常规"/>
          <w:gallery w:val="placeholder"/>
        </w:category>
        <w:types>
          <w:type w:val="bbPlcHdr"/>
        </w:types>
        <w:behaviors>
          <w:behavior w:val="content"/>
        </w:behaviors>
        <w:description w:val=""/>
        <w:guid w:val="{3e866bdc-19b7-46df-932c-1fa654b04173}"/>
      </w:docPartPr>
      <w:docPartBody>
        <w:p>
          <w:r>
            <w:rPr>
              <w:color w:val="808080"/>
            </w:rPr>
            <w:t>单击此处输入文字。</w:t>
          </w:r>
        </w:p>
      </w:docPartBody>
    </w:docPart>
    <w:docPart>
      <w:docPartPr>
        <w:name w:val="{8ef54ac9-2739-4f15-b039-3c8edab664c4}"/>
        <w:style w:val=""/>
        <w:category>
          <w:name w:val="常规"/>
          <w:gallery w:val="placeholder"/>
        </w:category>
        <w:types>
          <w:type w:val="bbPlcHdr"/>
        </w:types>
        <w:behaviors>
          <w:behavior w:val="content"/>
        </w:behaviors>
        <w:description w:val=""/>
        <w:guid w:val="{8ef54ac9-2739-4f15-b039-3c8edab664c4}"/>
      </w:docPartPr>
      <w:docPartBody>
        <w:p>
          <w:r>
            <w:rPr>
              <w:color w:val="808080"/>
            </w:rPr>
            <w:t>单击此处输入文字。</w:t>
          </w:r>
        </w:p>
      </w:docPartBody>
    </w:docPart>
    <w:docPart>
      <w:docPartPr>
        <w:name w:val="{ac2f1e53-733f-400f-b1b0-5883c934cd63}"/>
        <w:style w:val=""/>
        <w:category>
          <w:name w:val="常规"/>
          <w:gallery w:val="placeholder"/>
        </w:category>
        <w:types>
          <w:type w:val="bbPlcHdr"/>
        </w:types>
        <w:behaviors>
          <w:behavior w:val="content"/>
        </w:behaviors>
        <w:description w:val=""/>
        <w:guid w:val="{ac2f1e53-733f-400f-b1b0-5883c934cd63}"/>
      </w:docPartPr>
      <w:docPartBody>
        <w:p>
          <w:r>
            <w:rPr>
              <w:color w:val="808080"/>
            </w:rPr>
            <w:t>单击此处输入文字。</w:t>
          </w:r>
        </w:p>
      </w:docPartBody>
    </w:docPart>
    <w:docPart>
      <w:docPartPr>
        <w:name w:val="{5983758b-60e7-47b2-8587-b9034c53d664}"/>
        <w:style w:val=""/>
        <w:category>
          <w:name w:val="常规"/>
          <w:gallery w:val="placeholder"/>
        </w:category>
        <w:types>
          <w:type w:val="bbPlcHdr"/>
        </w:types>
        <w:behaviors>
          <w:behavior w:val="content"/>
        </w:behaviors>
        <w:description w:val=""/>
        <w:guid w:val="{5983758b-60e7-47b2-8587-b9034c53d664}"/>
      </w:docPartPr>
      <w:docPartBody>
        <w:p>
          <w:r>
            <w:rPr>
              <w:color w:val="808080"/>
            </w:rPr>
            <w:t>单击此处输入文字。</w:t>
          </w:r>
        </w:p>
      </w:docPartBody>
    </w:docPart>
    <w:docPart>
      <w:docPartPr>
        <w:name w:val="{c5aaee5c-469c-4da5-af17-c1dc9d011318}"/>
        <w:style w:val=""/>
        <w:category>
          <w:name w:val="常规"/>
          <w:gallery w:val="placeholder"/>
        </w:category>
        <w:types>
          <w:type w:val="bbPlcHdr"/>
        </w:types>
        <w:behaviors>
          <w:behavior w:val="content"/>
        </w:behaviors>
        <w:description w:val=""/>
        <w:guid w:val="{c5aaee5c-469c-4da5-af17-c1dc9d011318}"/>
      </w:docPartPr>
      <w:docPartBody>
        <w:p>
          <w:r>
            <w:rPr>
              <w:color w:val="808080"/>
            </w:rPr>
            <w:t>单击此处输入文字。</w:t>
          </w:r>
        </w:p>
      </w:docPartBody>
    </w:docPart>
    <w:docPart>
      <w:docPartPr>
        <w:name w:val="{cb85bae8-fd42-4454-b086-4b1369cd7ba3}"/>
        <w:style w:val=""/>
        <w:category>
          <w:name w:val="常规"/>
          <w:gallery w:val="placeholder"/>
        </w:category>
        <w:types>
          <w:type w:val="bbPlcHdr"/>
        </w:types>
        <w:behaviors>
          <w:behavior w:val="content"/>
        </w:behaviors>
        <w:description w:val=""/>
        <w:guid w:val="{cb85bae8-fd42-4454-b086-4b1369cd7ba3}"/>
      </w:docPartPr>
      <w:docPartBody>
        <w:p>
          <w:r>
            <w:rPr>
              <w:color w:val="808080"/>
            </w:rPr>
            <w:t>单击此处输入文字。</w:t>
          </w:r>
        </w:p>
      </w:docPartBody>
    </w:docPart>
    <w:docPart>
      <w:docPartPr>
        <w:name w:val="{3457d7b0-e9d8-4811-829e-8cd5fa66665f}"/>
        <w:style w:val=""/>
        <w:category>
          <w:name w:val="常规"/>
          <w:gallery w:val="placeholder"/>
        </w:category>
        <w:types>
          <w:type w:val="bbPlcHdr"/>
        </w:types>
        <w:behaviors>
          <w:behavior w:val="content"/>
        </w:behaviors>
        <w:description w:val=""/>
        <w:guid w:val="{3457d7b0-e9d8-4811-829e-8cd5fa66665f}"/>
      </w:docPartPr>
      <w:docPartBody>
        <w:p>
          <w:r>
            <w:rPr>
              <w:color w:val="808080"/>
            </w:rPr>
            <w:t>单击此处输入文字。</w:t>
          </w:r>
        </w:p>
      </w:docPartBody>
    </w:docPart>
    <w:docPart>
      <w:docPartPr>
        <w:name w:val="{8f5f1a99-0da6-4d5f-92c1-439ecc486d89}"/>
        <w:style w:val=""/>
        <w:category>
          <w:name w:val="常规"/>
          <w:gallery w:val="placeholder"/>
        </w:category>
        <w:types>
          <w:type w:val="bbPlcHdr"/>
        </w:types>
        <w:behaviors>
          <w:behavior w:val="content"/>
        </w:behaviors>
        <w:description w:val=""/>
        <w:guid w:val="{8f5f1a99-0da6-4d5f-92c1-439ecc486d89}"/>
      </w:docPartPr>
      <w:docPartBody>
        <w:p>
          <w:r>
            <w:rPr>
              <w:color w:val="808080"/>
            </w:rPr>
            <w:t>单击此处输入文字。</w:t>
          </w:r>
        </w:p>
      </w:docPartBody>
    </w:docPart>
    <w:docPart>
      <w:docPartPr>
        <w:name w:val="{2d43c267-f663-40c7-8ee6-4540394f3e44}"/>
        <w:style w:val=""/>
        <w:category>
          <w:name w:val="常规"/>
          <w:gallery w:val="placeholder"/>
        </w:category>
        <w:types>
          <w:type w:val="bbPlcHdr"/>
        </w:types>
        <w:behaviors>
          <w:behavior w:val="content"/>
        </w:behaviors>
        <w:description w:val=""/>
        <w:guid w:val="{2d43c267-f663-40c7-8ee6-4540394f3e44}"/>
      </w:docPartPr>
      <w:docPartBody>
        <w:p>
          <w:r>
            <w:rPr>
              <w:color w:val="808080"/>
            </w:rPr>
            <w:t>单击此处输入文字。</w:t>
          </w:r>
        </w:p>
      </w:docPartBody>
    </w:docPart>
    <w:docPart>
      <w:docPartPr>
        <w:name w:val="{d0a24fe7-9d29-456c-bc4a-db95222368cb}"/>
        <w:style w:val=""/>
        <w:category>
          <w:name w:val="常规"/>
          <w:gallery w:val="placeholder"/>
        </w:category>
        <w:types>
          <w:type w:val="bbPlcHdr"/>
        </w:types>
        <w:behaviors>
          <w:behavior w:val="content"/>
        </w:behaviors>
        <w:description w:val=""/>
        <w:guid w:val="{d0a24fe7-9d29-456c-bc4a-db95222368cb}"/>
      </w:docPartPr>
      <w:docPartBody>
        <w:p>
          <w:r>
            <w:rPr>
              <w:color w:val="808080"/>
            </w:rPr>
            <w:t>单击此处输入文字。</w:t>
          </w:r>
        </w:p>
      </w:docPartBody>
    </w:docPart>
    <w:docPart>
      <w:docPartPr>
        <w:name w:val="{fa55dc60-0405-4214-8342-0bc925e1eb03}"/>
        <w:style w:val=""/>
        <w:category>
          <w:name w:val="常规"/>
          <w:gallery w:val="placeholder"/>
        </w:category>
        <w:types>
          <w:type w:val="bbPlcHdr"/>
        </w:types>
        <w:behaviors>
          <w:behavior w:val="content"/>
        </w:behaviors>
        <w:description w:val=""/>
        <w:guid w:val="{fa55dc60-0405-4214-8342-0bc925e1eb03}"/>
      </w:docPartPr>
      <w:docPartBody>
        <w:p>
          <w:r>
            <w:rPr>
              <w:color w:val="808080"/>
            </w:rPr>
            <w:t>单击此处输入文字。</w:t>
          </w:r>
        </w:p>
      </w:docPartBody>
    </w:docPart>
    <w:docPart>
      <w:docPartPr>
        <w:name w:val="{e043542c-88ef-4b0e-91d1-b6bd1ad25156}"/>
        <w:style w:val=""/>
        <w:category>
          <w:name w:val="常规"/>
          <w:gallery w:val="placeholder"/>
        </w:category>
        <w:types>
          <w:type w:val="bbPlcHdr"/>
        </w:types>
        <w:behaviors>
          <w:behavior w:val="content"/>
        </w:behaviors>
        <w:description w:val=""/>
        <w:guid w:val="{e043542c-88ef-4b0e-91d1-b6bd1ad25156}"/>
      </w:docPartPr>
      <w:docPartBody>
        <w:p>
          <w:r>
            <w:rPr>
              <w:color w:val="808080"/>
            </w:rPr>
            <w:t>单击此处输入文字。</w:t>
          </w:r>
        </w:p>
      </w:docPartBody>
    </w:docPart>
    <w:docPart>
      <w:docPartPr>
        <w:name w:val="{e15ee464-d978-41ce-8888-29b9356a25b1}"/>
        <w:style w:val=""/>
        <w:category>
          <w:name w:val="常规"/>
          <w:gallery w:val="placeholder"/>
        </w:category>
        <w:types>
          <w:type w:val="bbPlcHdr"/>
        </w:types>
        <w:behaviors>
          <w:behavior w:val="content"/>
        </w:behaviors>
        <w:description w:val=""/>
        <w:guid w:val="{e15ee464-d978-41ce-8888-29b9356a25b1}"/>
      </w:docPartPr>
      <w:docPartBody>
        <w:p>
          <w:r>
            <w:rPr>
              <w:color w:val="808080"/>
            </w:rPr>
            <w:t>单击此处输入文字。</w:t>
          </w:r>
        </w:p>
      </w:docPartBody>
    </w:docPart>
    <w:docPart>
      <w:docPartPr>
        <w:name w:val="{57e986cc-9612-4655-b04d-ac6894772fa5}"/>
        <w:style w:val=""/>
        <w:category>
          <w:name w:val="常规"/>
          <w:gallery w:val="placeholder"/>
        </w:category>
        <w:types>
          <w:type w:val="bbPlcHdr"/>
        </w:types>
        <w:behaviors>
          <w:behavior w:val="content"/>
        </w:behaviors>
        <w:description w:val=""/>
        <w:guid w:val="{57e986cc-9612-4655-b04d-ac6894772fa5}"/>
      </w:docPartPr>
      <w:docPartBody>
        <w:p>
          <w:r>
            <w:rPr>
              <w:color w:val="808080"/>
            </w:rPr>
            <w:t>单击此处输入文字。</w:t>
          </w:r>
        </w:p>
      </w:docPartBody>
    </w:docPart>
    <w:docPart>
      <w:docPartPr>
        <w:name w:val="{ef20fa3a-7c18-4dc5-82d9-44ed80fb74c1}"/>
        <w:style w:val=""/>
        <w:category>
          <w:name w:val="常规"/>
          <w:gallery w:val="placeholder"/>
        </w:category>
        <w:types>
          <w:type w:val="bbPlcHdr"/>
        </w:types>
        <w:behaviors>
          <w:behavior w:val="content"/>
        </w:behaviors>
        <w:description w:val=""/>
        <w:guid w:val="{ef20fa3a-7c18-4dc5-82d9-44ed80fb74c1}"/>
      </w:docPartPr>
      <w:docPartBody>
        <w:p>
          <w:r>
            <w:rPr>
              <w:color w:val="808080"/>
            </w:rPr>
            <w:t>单击此处输入文字。</w:t>
          </w:r>
        </w:p>
      </w:docPartBody>
    </w:docPart>
    <w:docPart>
      <w:docPartPr>
        <w:name w:val="{ca1ebdaa-710a-4558-bdc8-be845be70c4e}"/>
        <w:style w:val=""/>
        <w:category>
          <w:name w:val="常规"/>
          <w:gallery w:val="placeholder"/>
        </w:category>
        <w:types>
          <w:type w:val="bbPlcHdr"/>
        </w:types>
        <w:behaviors>
          <w:behavior w:val="content"/>
        </w:behaviors>
        <w:description w:val=""/>
        <w:guid w:val="{ca1ebdaa-710a-4558-bdc8-be845be70c4e}"/>
      </w:docPartPr>
      <w:docPartBody>
        <w:p>
          <w:r>
            <w:rPr>
              <w:color w:val="808080"/>
            </w:rPr>
            <w:t>单击此处输入文字。</w:t>
          </w:r>
        </w:p>
      </w:docPartBody>
    </w:docPart>
    <w:docPart>
      <w:docPartPr>
        <w:name w:val="{87c836ad-2c1d-46f8-9913-26d2aa38e809}"/>
        <w:style w:val=""/>
        <w:category>
          <w:name w:val="常规"/>
          <w:gallery w:val="placeholder"/>
        </w:category>
        <w:types>
          <w:type w:val="bbPlcHdr"/>
        </w:types>
        <w:behaviors>
          <w:behavior w:val="content"/>
        </w:behaviors>
        <w:description w:val=""/>
        <w:guid w:val="{87c836ad-2c1d-46f8-9913-26d2aa38e809}"/>
      </w:docPartPr>
      <w:docPartBody>
        <w:p>
          <w:r>
            <w:rPr>
              <w:color w:val="808080"/>
            </w:rPr>
            <w:t>单击此处输入文字。</w:t>
          </w:r>
        </w:p>
      </w:docPartBody>
    </w:docPart>
    <w:docPart>
      <w:docPartPr>
        <w:name w:val="{9a396eed-31d8-4527-a654-3d5bb6db60ac}"/>
        <w:style w:val=""/>
        <w:category>
          <w:name w:val="常规"/>
          <w:gallery w:val="placeholder"/>
        </w:category>
        <w:types>
          <w:type w:val="bbPlcHdr"/>
        </w:types>
        <w:behaviors>
          <w:behavior w:val="content"/>
        </w:behaviors>
        <w:description w:val=""/>
        <w:guid w:val="{9a396eed-31d8-4527-a654-3d5bb6db60ac}"/>
      </w:docPartPr>
      <w:docPartBody>
        <w:p>
          <w:r>
            <w:rPr>
              <w:color w:val="808080"/>
            </w:rPr>
            <w:t>单击此处输入文字。</w:t>
          </w:r>
        </w:p>
      </w:docPartBody>
    </w:docPart>
    <w:docPart>
      <w:docPartPr>
        <w:name w:val="{59e980c5-d167-4f5f-a8c9-75449a414934}"/>
        <w:style w:val=""/>
        <w:category>
          <w:name w:val="常规"/>
          <w:gallery w:val="placeholder"/>
        </w:category>
        <w:types>
          <w:type w:val="bbPlcHdr"/>
        </w:types>
        <w:behaviors>
          <w:behavior w:val="content"/>
        </w:behaviors>
        <w:description w:val=""/>
        <w:guid w:val="{59e980c5-d167-4f5f-a8c9-75449a414934}"/>
      </w:docPartPr>
      <w:docPartBody>
        <w:p>
          <w:r>
            <w:rPr>
              <w:color w:val="808080"/>
            </w:rPr>
            <w:t>单击此处输入文字。</w:t>
          </w:r>
        </w:p>
      </w:docPartBody>
    </w:docPart>
    <w:docPart>
      <w:docPartPr>
        <w:name w:val="{d19e14ba-d1a3-49c5-abc8-b29308e1155e}"/>
        <w:style w:val=""/>
        <w:category>
          <w:name w:val="常规"/>
          <w:gallery w:val="placeholder"/>
        </w:category>
        <w:types>
          <w:type w:val="bbPlcHdr"/>
        </w:types>
        <w:behaviors>
          <w:behavior w:val="content"/>
        </w:behaviors>
        <w:description w:val=""/>
        <w:guid w:val="{d19e14ba-d1a3-49c5-abc8-b29308e1155e}"/>
      </w:docPartPr>
      <w:docPartBody>
        <w:p>
          <w:r>
            <w:rPr>
              <w:color w:val="808080"/>
            </w:rPr>
            <w:t>单击此处输入文字。</w:t>
          </w:r>
        </w:p>
      </w:docPartBody>
    </w:docPart>
    <w:docPart>
      <w:docPartPr>
        <w:name w:val="{2bb58b5b-e962-4120-93b6-ba9ab036f04c}"/>
        <w:style w:val=""/>
        <w:category>
          <w:name w:val="常规"/>
          <w:gallery w:val="placeholder"/>
        </w:category>
        <w:types>
          <w:type w:val="bbPlcHdr"/>
        </w:types>
        <w:behaviors>
          <w:behavior w:val="content"/>
        </w:behaviors>
        <w:description w:val=""/>
        <w:guid w:val="{2bb58b5b-e962-4120-93b6-ba9ab036f04c}"/>
      </w:docPartPr>
      <w:docPartBody>
        <w:p>
          <w:r>
            <w:rPr>
              <w:color w:val="808080"/>
            </w:rPr>
            <w:t>单击此处输入文字。</w:t>
          </w:r>
        </w:p>
      </w:docPartBody>
    </w:docPart>
    <w:docPart>
      <w:docPartPr>
        <w:name w:val="{c2e5bf02-ae2e-47da-b2e4-82d241e15121}"/>
        <w:style w:val=""/>
        <w:category>
          <w:name w:val="常规"/>
          <w:gallery w:val="placeholder"/>
        </w:category>
        <w:types>
          <w:type w:val="bbPlcHdr"/>
        </w:types>
        <w:behaviors>
          <w:behavior w:val="content"/>
        </w:behaviors>
        <w:description w:val=""/>
        <w:guid w:val="{c2e5bf02-ae2e-47da-b2e4-82d241e15121}"/>
      </w:docPartPr>
      <w:docPartBody>
        <w:p>
          <w:r>
            <w:rPr>
              <w:color w:val="808080"/>
            </w:rPr>
            <w:t>单击此处输入文字。</w:t>
          </w:r>
        </w:p>
      </w:docPartBody>
    </w:docPart>
    <w:docPart>
      <w:docPartPr>
        <w:name w:val="{927f2106-9095-43f9-88c5-09b114e41b4c}"/>
        <w:style w:val=""/>
        <w:category>
          <w:name w:val="常规"/>
          <w:gallery w:val="placeholder"/>
        </w:category>
        <w:types>
          <w:type w:val="bbPlcHdr"/>
        </w:types>
        <w:behaviors>
          <w:behavior w:val="content"/>
        </w:behaviors>
        <w:description w:val=""/>
        <w:guid w:val="{927f2106-9095-43f9-88c5-09b114e41b4c}"/>
      </w:docPartPr>
      <w:docPartBody>
        <w:p>
          <w:r>
            <w:rPr>
              <w:color w:val="808080"/>
            </w:rPr>
            <w:t>单击此处输入文字。</w:t>
          </w:r>
        </w:p>
      </w:docPartBody>
    </w:docPart>
    <w:docPart>
      <w:docPartPr>
        <w:name w:val="{348597a7-5380-4dce-88d4-2a49169ac856}"/>
        <w:style w:val=""/>
        <w:category>
          <w:name w:val="常规"/>
          <w:gallery w:val="placeholder"/>
        </w:category>
        <w:types>
          <w:type w:val="bbPlcHdr"/>
        </w:types>
        <w:behaviors>
          <w:behavior w:val="content"/>
        </w:behaviors>
        <w:description w:val=""/>
        <w:guid w:val="{348597a7-5380-4dce-88d4-2a49169ac856}"/>
      </w:docPartPr>
      <w:docPartBody>
        <w:p>
          <w:r>
            <w:rPr>
              <w:color w:val="808080"/>
            </w:rPr>
            <w:t>单击此处输入文字。</w:t>
          </w:r>
        </w:p>
      </w:docPartBody>
    </w:docPart>
    <w:docPart>
      <w:docPartPr>
        <w:name w:val="{7de2ad16-d573-425f-92e6-049d06b41311}"/>
        <w:style w:val=""/>
        <w:category>
          <w:name w:val="常规"/>
          <w:gallery w:val="placeholder"/>
        </w:category>
        <w:types>
          <w:type w:val="bbPlcHdr"/>
        </w:types>
        <w:behaviors>
          <w:behavior w:val="content"/>
        </w:behaviors>
        <w:description w:val=""/>
        <w:guid w:val="{7de2ad16-d573-425f-92e6-049d06b41311}"/>
      </w:docPartPr>
      <w:docPartBody>
        <w:p>
          <w:r>
            <w:rPr>
              <w:color w:val="808080"/>
            </w:rPr>
            <w:t>单击此处输入文字。</w:t>
          </w:r>
        </w:p>
      </w:docPartBody>
    </w:docPart>
    <w:docPart>
      <w:docPartPr>
        <w:name w:val="{de3b0203-3728-4919-8b34-908b8d5875e0}"/>
        <w:style w:val=""/>
        <w:category>
          <w:name w:val="常规"/>
          <w:gallery w:val="placeholder"/>
        </w:category>
        <w:types>
          <w:type w:val="bbPlcHdr"/>
        </w:types>
        <w:behaviors>
          <w:behavior w:val="content"/>
        </w:behaviors>
        <w:description w:val=""/>
        <w:guid w:val="{de3b0203-3728-4919-8b34-908b8d5875e0}"/>
      </w:docPartPr>
      <w:docPartBody>
        <w:p>
          <w:r>
            <w:rPr>
              <w:color w:val="808080"/>
            </w:rPr>
            <w:t>单击此处输入文字。</w:t>
          </w:r>
        </w:p>
      </w:docPartBody>
    </w:docPart>
    <w:docPart>
      <w:docPartPr>
        <w:name w:val="{33e3e1e1-4935-442c-adfc-4eaebce4c861}"/>
        <w:style w:val=""/>
        <w:category>
          <w:name w:val="常规"/>
          <w:gallery w:val="placeholder"/>
        </w:category>
        <w:types>
          <w:type w:val="bbPlcHdr"/>
        </w:types>
        <w:behaviors>
          <w:behavior w:val="content"/>
        </w:behaviors>
        <w:description w:val=""/>
        <w:guid w:val="{33e3e1e1-4935-442c-adfc-4eaebce4c861}"/>
      </w:docPartPr>
      <w:docPartBody>
        <w:p>
          <w:r>
            <w:rPr>
              <w:color w:val="808080"/>
            </w:rPr>
            <w:t>单击此处输入文字。</w:t>
          </w:r>
        </w:p>
      </w:docPartBody>
    </w:docPart>
    <w:docPart>
      <w:docPartPr>
        <w:name w:val="{9397db67-6a4b-4853-b2a7-bab3250ae67f}"/>
        <w:style w:val=""/>
        <w:category>
          <w:name w:val="常规"/>
          <w:gallery w:val="placeholder"/>
        </w:category>
        <w:types>
          <w:type w:val="bbPlcHdr"/>
        </w:types>
        <w:behaviors>
          <w:behavior w:val="content"/>
        </w:behaviors>
        <w:description w:val=""/>
        <w:guid w:val="{9397db67-6a4b-4853-b2a7-bab3250ae67f}"/>
      </w:docPartPr>
      <w:docPartBody>
        <w:p>
          <w:r>
            <w:rPr>
              <w:color w:val="808080"/>
            </w:rPr>
            <w:t>单击此处输入文字。</w:t>
          </w:r>
        </w:p>
      </w:docPartBody>
    </w:docPart>
    <w:docPart>
      <w:docPartPr>
        <w:name w:val="{6c7a194f-419b-4262-bc64-e86bd3f4ce8a}"/>
        <w:style w:val=""/>
        <w:category>
          <w:name w:val="常规"/>
          <w:gallery w:val="placeholder"/>
        </w:category>
        <w:types>
          <w:type w:val="bbPlcHdr"/>
        </w:types>
        <w:behaviors>
          <w:behavior w:val="content"/>
        </w:behaviors>
        <w:description w:val=""/>
        <w:guid w:val="{6c7a194f-419b-4262-bc64-e86bd3f4ce8a}"/>
      </w:docPartPr>
      <w:docPartBody>
        <w:p>
          <w:r>
            <w:rPr>
              <w:color w:val="808080"/>
            </w:rPr>
            <w:t>单击此处输入文字。</w:t>
          </w:r>
        </w:p>
      </w:docPartBody>
    </w:docPart>
    <w:docPart>
      <w:docPartPr>
        <w:name w:val="{8274d800-4d96-4ca4-b1ec-81a4bd36c086}"/>
        <w:style w:val=""/>
        <w:category>
          <w:name w:val="常规"/>
          <w:gallery w:val="placeholder"/>
        </w:category>
        <w:types>
          <w:type w:val="bbPlcHdr"/>
        </w:types>
        <w:behaviors>
          <w:behavior w:val="content"/>
        </w:behaviors>
        <w:description w:val=""/>
        <w:guid w:val="{8274d800-4d96-4ca4-b1ec-81a4bd36c086}"/>
      </w:docPartPr>
      <w:docPartBody>
        <w:p>
          <w:r>
            <w:rPr>
              <w:color w:val="808080"/>
            </w:rPr>
            <w:t>单击此处输入文字。</w:t>
          </w:r>
        </w:p>
      </w:docPartBody>
    </w:docPart>
    <w:docPart>
      <w:docPartPr>
        <w:name w:val="{228892f3-a109-4d4a-87e8-76c57546f82e}"/>
        <w:style w:val=""/>
        <w:category>
          <w:name w:val="常规"/>
          <w:gallery w:val="placeholder"/>
        </w:category>
        <w:types>
          <w:type w:val="bbPlcHdr"/>
        </w:types>
        <w:behaviors>
          <w:behavior w:val="content"/>
        </w:behaviors>
        <w:description w:val=""/>
        <w:guid w:val="{228892f3-a109-4d4a-87e8-76c57546f82e}"/>
      </w:docPartPr>
      <w:docPartBody>
        <w:p>
          <w:r>
            <w:rPr>
              <w:color w:val="808080"/>
            </w:rPr>
            <w:t>单击此处输入文字。</w:t>
          </w:r>
        </w:p>
      </w:docPartBody>
    </w:docPart>
    <w:docPart>
      <w:docPartPr>
        <w:name w:val="{850a49ba-9122-41c8-a399-0e3081e60738}"/>
        <w:style w:val=""/>
        <w:category>
          <w:name w:val="常规"/>
          <w:gallery w:val="placeholder"/>
        </w:category>
        <w:types>
          <w:type w:val="bbPlcHdr"/>
        </w:types>
        <w:behaviors>
          <w:behavior w:val="content"/>
        </w:behaviors>
        <w:description w:val=""/>
        <w:guid w:val="{850a49ba-9122-41c8-a399-0e3081e60738}"/>
      </w:docPartPr>
      <w:docPartBody>
        <w:p>
          <w:r>
            <w:rPr>
              <w:color w:val="808080"/>
            </w:rPr>
            <w:t>单击此处输入文字。</w:t>
          </w:r>
        </w:p>
      </w:docPartBody>
    </w:docPart>
    <w:docPart>
      <w:docPartPr>
        <w:name w:val="{5e0cce00-b218-41df-ad53-7083f5e7aff7}"/>
        <w:style w:val=""/>
        <w:category>
          <w:name w:val="常规"/>
          <w:gallery w:val="placeholder"/>
        </w:category>
        <w:types>
          <w:type w:val="bbPlcHdr"/>
        </w:types>
        <w:behaviors>
          <w:behavior w:val="content"/>
        </w:behaviors>
        <w:description w:val=""/>
        <w:guid w:val="{5e0cce00-b218-41df-ad53-7083f5e7aff7}"/>
      </w:docPartPr>
      <w:docPartBody>
        <w:p>
          <w:r>
            <w:rPr>
              <w:color w:val="808080"/>
            </w:rPr>
            <w:t>单击此处输入文字。</w:t>
          </w:r>
        </w:p>
      </w:docPartBody>
    </w:docPart>
    <w:docPart>
      <w:docPartPr>
        <w:name w:val="{3ed33cd0-179f-4ad1-a934-b493f2002c1c}"/>
        <w:style w:val=""/>
        <w:category>
          <w:name w:val="常规"/>
          <w:gallery w:val="placeholder"/>
        </w:category>
        <w:types>
          <w:type w:val="bbPlcHdr"/>
        </w:types>
        <w:behaviors>
          <w:behavior w:val="content"/>
        </w:behaviors>
        <w:description w:val=""/>
        <w:guid w:val="{3ed33cd0-179f-4ad1-a934-b493f2002c1c}"/>
      </w:docPartPr>
      <w:docPartBody>
        <w:p>
          <w:r>
            <w:rPr>
              <w:color w:val="808080"/>
            </w:rPr>
            <w:t>单击此处输入文字。</w:t>
          </w:r>
        </w:p>
      </w:docPartBody>
    </w:docPart>
    <w:docPart>
      <w:docPartPr>
        <w:name w:val="{7418b145-e1ef-44be-a441-0c61f65692d2}"/>
        <w:style w:val=""/>
        <w:category>
          <w:name w:val="常规"/>
          <w:gallery w:val="placeholder"/>
        </w:category>
        <w:types>
          <w:type w:val="bbPlcHdr"/>
        </w:types>
        <w:behaviors>
          <w:behavior w:val="content"/>
        </w:behaviors>
        <w:description w:val=""/>
        <w:guid w:val="{7418b145-e1ef-44be-a441-0c61f65692d2}"/>
      </w:docPartPr>
      <w:docPartBody>
        <w:p>
          <w:r>
            <w:rPr>
              <w:color w:val="808080"/>
            </w:rPr>
            <w:t>单击此处输入文字。</w:t>
          </w:r>
        </w:p>
      </w:docPartBody>
    </w:docPart>
    <w:docPart>
      <w:docPartPr>
        <w:name w:val="{c75534d7-5290-46cd-8397-7934af04b26d}"/>
        <w:style w:val=""/>
        <w:category>
          <w:name w:val="常规"/>
          <w:gallery w:val="placeholder"/>
        </w:category>
        <w:types>
          <w:type w:val="bbPlcHdr"/>
        </w:types>
        <w:behaviors>
          <w:behavior w:val="content"/>
        </w:behaviors>
        <w:description w:val=""/>
        <w:guid w:val="{c75534d7-5290-46cd-8397-7934af04b26d}"/>
      </w:docPartPr>
      <w:docPartBody>
        <w:p>
          <w:r>
            <w:rPr>
              <w:color w:val="808080"/>
            </w:rPr>
            <w:t>单击此处输入文字。</w:t>
          </w:r>
        </w:p>
      </w:docPartBody>
    </w:docPart>
    <w:docPart>
      <w:docPartPr>
        <w:name w:val="{bf7d2b2d-e27f-4a3f-9081-ac247e57e879}"/>
        <w:style w:val=""/>
        <w:category>
          <w:name w:val="常规"/>
          <w:gallery w:val="placeholder"/>
        </w:category>
        <w:types>
          <w:type w:val="bbPlcHdr"/>
        </w:types>
        <w:behaviors>
          <w:behavior w:val="content"/>
        </w:behaviors>
        <w:description w:val=""/>
        <w:guid w:val="{bf7d2b2d-e27f-4a3f-9081-ac247e57e879}"/>
      </w:docPartPr>
      <w:docPartBody>
        <w:p>
          <w:r>
            <w:rPr>
              <w:color w:val="808080"/>
            </w:rPr>
            <w:t>单击此处输入文字。</w:t>
          </w:r>
        </w:p>
      </w:docPartBody>
    </w:docPart>
    <w:docPart>
      <w:docPartPr>
        <w:name w:val="{b0e1f73d-8380-4b76-83f3-ada49718a1af}"/>
        <w:style w:val=""/>
        <w:category>
          <w:name w:val="常规"/>
          <w:gallery w:val="placeholder"/>
        </w:category>
        <w:types>
          <w:type w:val="bbPlcHdr"/>
        </w:types>
        <w:behaviors>
          <w:behavior w:val="content"/>
        </w:behaviors>
        <w:description w:val=""/>
        <w:guid w:val="{b0e1f73d-8380-4b76-83f3-ada49718a1af}"/>
      </w:docPartPr>
      <w:docPartBody>
        <w:p>
          <w:r>
            <w:rPr>
              <w:color w:val="808080"/>
            </w:rPr>
            <w:t>单击此处输入文字。</w:t>
          </w:r>
        </w:p>
      </w:docPartBody>
    </w:docPart>
    <w:docPart>
      <w:docPartPr>
        <w:name w:val="{3de5d5f5-cf81-4877-b6e5-2cddde037c99}"/>
        <w:style w:val=""/>
        <w:category>
          <w:name w:val="常规"/>
          <w:gallery w:val="placeholder"/>
        </w:category>
        <w:types>
          <w:type w:val="bbPlcHdr"/>
        </w:types>
        <w:behaviors>
          <w:behavior w:val="content"/>
        </w:behaviors>
        <w:description w:val=""/>
        <w:guid w:val="{3de5d5f5-cf81-4877-b6e5-2cddde037c99}"/>
      </w:docPartPr>
      <w:docPartBody>
        <w:p>
          <w:r>
            <w:rPr>
              <w:color w:val="808080"/>
            </w:rPr>
            <w:t>单击此处输入文字。</w:t>
          </w:r>
        </w:p>
      </w:docPartBody>
    </w:docPart>
    <w:docPart>
      <w:docPartPr>
        <w:name w:val="{05ab2342-8c58-4c33-a9eb-23d728ba9c1b}"/>
        <w:style w:val=""/>
        <w:category>
          <w:name w:val="常规"/>
          <w:gallery w:val="placeholder"/>
        </w:category>
        <w:types>
          <w:type w:val="bbPlcHdr"/>
        </w:types>
        <w:behaviors>
          <w:behavior w:val="content"/>
        </w:behaviors>
        <w:description w:val=""/>
        <w:guid w:val="{05ab2342-8c58-4c33-a9eb-23d728ba9c1b}"/>
      </w:docPartPr>
      <w:docPartBody>
        <w:p>
          <w:r>
            <w:rPr>
              <w:color w:val="808080"/>
            </w:rPr>
            <w:t>单击此处输入文字。</w:t>
          </w:r>
        </w:p>
      </w:docPartBody>
    </w:docPart>
    <w:docPart>
      <w:docPartPr>
        <w:name w:val="{ff8a6b39-c5cb-4586-b217-b46ec5a45f1e}"/>
        <w:style w:val=""/>
        <w:category>
          <w:name w:val="常规"/>
          <w:gallery w:val="placeholder"/>
        </w:category>
        <w:types>
          <w:type w:val="bbPlcHdr"/>
        </w:types>
        <w:behaviors>
          <w:behavior w:val="content"/>
        </w:behaviors>
        <w:description w:val=""/>
        <w:guid w:val="{ff8a6b39-c5cb-4586-b217-b46ec5a45f1e}"/>
      </w:docPartPr>
      <w:docPartBody>
        <w:p>
          <w:r>
            <w:rPr>
              <w:color w:val="808080"/>
            </w:rPr>
            <w:t>单击此处输入文字。</w:t>
          </w:r>
        </w:p>
      </w:docPartBody>
    </w:docPart>
    <w:docPart>
      <w:docPartPr>
        <w:name w:val="{5b19cc0f-fa91-4f43-9918-8ff2fcef376b}"/>
        <w:style w:val=""/>
        <w:category>
          <w:name w:val="常规"/>
          <w:gallery w:val="placeholder"/>
        </w:category>
        <w:types>
          <w:type w:val="bbPlcHdr"/>
        </w:types>
        <w:behaviors>
          <w:behavior w:val="content"/>
        </w:behaviors>
        <w:description w:val=""/>
        <w:guid w:val="{5b19cc0f-fa91-4f43-9918-8ff2fcef376b}"/>
      </w:docPartPr>
      <w:docPartBody>
        <w:p>
          <w:r>
            <w:rPr>
              <w:color w:val="808080"/>
            </w:rPr>
            <w:t>单击此处输入文字。</w:t>
          </w:r>
        </w:p>
      </w:docPartBody>
    </w:docPart>
    <w:docPart>
      <w:docPartPr>
        <w:name w:val="{2479a3fc-e0b4-418a-9ecb-df3792dd9d7d}"/>
        <w:style w:val=""/>
        <w:category>
          <w:name w:val="常规"/>
          <w:gallery w:val="placeholder"/>
        </w:category>
        <w:types>
          <w:type w:val="bbPlcHdr"/>
        </w:types>
        <w:behaviors>
          <w:behavior w:val="content"/>
        </w:behaviors>
        <w:description w:val=""/>
        <w:guid w:val="{2479a3fc-e0b4-418a-9ecb-df3792dd9d7d}"/>
      </w:docPartPr>
      <w:docPartBody>
        <w:p>
          <w:r>
            <w:rPr>
              <w:color w:val="808080"/>
            </w:rPr>
            <w:t>单击此处输入文字。</w:t>
          </w:r>
        </w:p>
      </w:docPartBody>
    </w:docPart>
    <w:docPart>
      <w:docPartPr>
        <w:name w:val="{fe90c457-ef45-47d5-a436-b0e9c33e7a0e}"/>
        <w:style w:val=""/>
        <w:category>
          <w:name w:val="常规"/>
          <w:gallery w:val="placeholder"/>
        </w:category>
        <w:types>
          <w:type w:val="bbPlcHdr"/>
        </w:types>
        <w:behaviors>
          <w:behavior w:val="content"/>
        </w:behaviors>
        <w:description w:val=""/>
        <w:guid w:val="{fe90c457-ef45-47d5-a436-b0e9c33e7a0e}"/>
      </w:docPartPr>
      <w:docPartBody>
        <w:p>
          <w:r>
            <w:rPr>
              <w:color w:val="808080"/>
            </w:rPr>
            <w:t>单击此处输入文字。</w:t>
          </w:r>
        </w:p>
      </w:docPartBody>
    </w:docPart>
    <w:docPart>
      <w:docPartPr>
        <w:name w:val="{1b0d0fed-0c81-439a-86b9-c9570c94d2ef}"/>
        <w:style w:val=""/>
        <w:category>
          <w:name w:val="常规"/>
          <w:gallery w:val="placeholder"/>
        </w:category>
        <w:types>
          <w:type w:val="bbPlcHdr"/>
        </w:types>
        <w:behaviors>
          <w:behavior w:val="content"/>
        </w:behaviors>
        <w:description w:val=""/>
        <w:guid w:val="{1b0d0fed-0c81-439a-86b9-c9570c94d2ef}"/>
      </w:docPartPr>
      <w:docPartBody>
        <w:p>
          <w:r>
            <w:rPr>
              <w:color w:val="808080"/>
            </w:rPr>
            <w:t>单击此处输入文字。</w:t>
          </w:r>
        </w:p>
      </w:docPartBody>
    </w:docPart>
    <w:docPart>
      <w:docPartPr>
        <w:name w:val="{55d9bc2d-35d5-4cc2-95d9-04a433e85f47}"/>
        <w:style w:val=""/>
        <w:category>
          <w:name w:val="常规"/>
          <w:gallery w:val="placeholder"/>
        </w:category>
        <w:types>
          <w:type w:val="bbPlcHdr"/>
        </w:types>
        <w:behaviors>
          <w:behavior w:val="content"/>
        </w:behaviors>
        <w:description w:val=""/>
        <w:guid w:val="{55d9bc2d-35d5-4cc2-95d9-04a433e85f47}"/>
      </w:docPartPr>
      <w:docPartBody>
        <w:p>
          <w:r>
            <w:rPr>
              <w:color w:val="808080"/>
            </w:rPr>
            <w:t>单击此处输入文字。</w:t>
          </w:r>
        </w:p>
      </w:docPartBody>
    </w:docPart>
    <w:docPart>
      <w:docPartPr>
        <w:name w:val="{12e9b91b-8118-4818-bd3f-e62afe02ab66}"/>
        <w:style w:val=""/>
        <w:category>
          <w:name w:val="常规"/>
          <w:gallery w:val="placeholder"/>
        </w:category>
        <w:types>
          <w:type w:val="bbPlcHdr"/>
        </w:types>
        <w:behaviors>
          <w:behavior w:val="content"/>
        </w:behaviors>
        <w:description w:val=""/>
        <w:guid w:val="{12e9b91b-8118-4818-bd3f-e62afe02ab66}"/>
      </w:docPartPr>
      <w:docPartBody>
        <w:p>
          <w:r>
            <w:rPr>
              <w:color w:val="808080"/>
            </w:rPr>
            <w:t>单击此处输入文字。</w:t>
          </w:r>
        </w:p>
      </w:docPartBody>
    </w:docPart>
    <w:docPart>
      <w:docPartPr>
        <w:name w:val="{e0ab4e59-c9c4-45ce-9d57-cdeac08286c4}"/>
        <w:style w:val=""/>
        <w:category>
          <w:name w:val="常规"/>
          <w:gallery w:val="placeholder"/>
        </w:category>
        <w:types>
          <w:type w:val="bbPlcHdr"/>
        </w:types>
        <w:behaviors>
          <w:behavior w:val="content"/>
        </w:behaviors>
        <w:description w:val=""/>
        <w:guid w:val="{e0ab4e59-c9c4-45ce-9d57-cdeac08286c4}"/>
      </w:docPartPr>
      <w:docPartBody>
        <w:p>
          <w:r>
            <w:rPr>
              <w:color w:val="808080"/>
            </w:rPr>
            <w:t>单击此处输入文字。</w:t>
          </w:r>
        </w:p>
      </w:docPartBody>
    </w:docPart>
    <w:docPart>
      <w:docPartPr>
        <w:name w:val="{28c1ea03-77b0-4100-9ee5-ef16a79f4375}"/>
        <w:style w:val=""/>
        <w:category>
          <w:name w:val="常规"/>
          <w:gallery w:val="placeholder"/>
        </w:category>
        <w:types>
          <w:type w:val="bbPlcHdr"/>
        </w:types>
        <w:behaviors>
          <w:behavior w:val="content"/>
        </w:behaviors>
        <w:description w:val=""/>
        <w:guid w:val="{28c1ea03-77b0-4100-9ee5-ef16a79f4375}"/>
      </w:docPartPr>
      <w:docPartBody>
        <w:p>
          <w:r>
            <w:rPr>
              <w:color w:val="808080"/>
            </w:rPr>
            <w:t>单击此处输入文字。</w:t>
          </w:r>
        </w:p>
      </w:docPartBody>
    </w:docPart>
    <w:docPart>
      <w:docPartPr>
        <w:name w:val="{200ae37a-517f-4bb5-9567-73708e1f7a19}"/>
        <w:style w:val=""/>
        <w:category>
          <w:name w:val="常规"/>
          <w:gallery w:val="placeholder"/>
        </w:category>
        <w:types>
          <w:type w:val="bbPlcHdr"/>
        </w:types>
        <w:behaviors>
          <w:behavior w:val="content"/>
        </w:behaviors>
        <w:description w:val=""/>
        <w:guid w:val="{200ae37a-517f-4bb5-9567-73708e1f7a1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19666</Words>
  <Characters>21054</Characters>
  <Lines>0</Lines>
  <Paragraphs>0</Paragraphs>
  <TotalTime>2</TotalTime>
  <ScaleCrop>false</ScaleCrop>
  <LinksUpToDate>false</LinksUpToDate>
  <CharactersWithSpaces>21541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2021-07-11T09:52:00Z</dcterms:created>
  <dc:creator>醜金寶QQ873133969</dc:creator>
  <cp:lastModifiedBy>Lenovo、</cp:lastModifiedBy>
  <dcterms:modified xsi:type="dcterms:W3CDTF">2023-07-31T12:16:57Z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078BB43FB15D49568D5D8E8AF7F64E97</vt:lpwstr>
  </property>
  <property fmtid="{D5CDD505-2E9C-101B-9397-08002B2CF9AE}" pid="4" name="KSOSaveFontToCloudKey">
    <vt:lpwstr>1205343577_btnclosed</vt:lpwstr>
  </property>
</Properties>
</file>